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84E2" w14:textId="77777777" w:rsidR="00CD47A0" w:rsidRDefault="00CD47A0">
      <w:pPr>
        <w:adjustRightInd w:val="0"/>
        <w:snapToGrid w:val="0"/>
        <w:spacing w:line="360" w:lineRule="auto"/>
        <w:ind w:firstLine="422"/>
        <w:jc w:val="left"/>
        <w:rPr>
          <w:b/>
          <w:color w:val="000000"/>
          <w:szCs w:val="21"/>
        </w:rPr>
      </w:pPr>
      <w:bookmarkStart w:id="0" w:name="_Toc17479"/>
    </w:p>
    <w:p w14:paraId="3983BE00" w14:textId="77777777" w:rsidR="00CD47A0" w:rsidRDefault="00CD47A0">
      <w:pPr>
        <w:adjustRightInd w:val="0"/>
        <w:snapToGrid w:val="0"/>
        <w:spacing w:line="360" w:lineRule="auto"/>
        <w:ind w:firstLine="422"/>
        <w:jc w:val="left"/>
        <w:rPr>
          <w:b/>
          <w:color w:val="000000"/>
          <w:szCs w:val="21"/>
        </w:rPr>
      </w:pPr>
    </w:p>
    <w:p w14:paraId="0E1CCF0F" w14:textId="77777777" w:rsidR="00CD47A0" w:rsidRDefault="00CD47A0">
      <w:pPr>
        <w:adjustRightInd w:val="0"/>
        <w:snapToGrid w:val="0"/>
        <w:spacing w:line="360" w:lineRule="auto"/>
        <w:ind w:firstLine="422"/>
        <w:jc w:val="left"/>
        <w:rPr>
          <w:b/>
          <w:color w:val="000000"/>
          <w:szCs w:val="21"/>
        </w:rPr>
      </w:pPr>
    </w:p>
    <w:p w14:paraId="024029C0" w14:textId="77777777" w:rsidR="00CD47A0" w:rsidRDefault="00000000">
      <w:pPr>
        <w:adjustRightInd w:val="0"/>
        <w:snapToGrid w:val="0"/>
        <w:spacing w:line="360" w:lineRule="auto"/>
        <w:ind w:firstLine="883"/>
        <w:jc w:val="distribute"/>
        <w:rPr>
          <w:b/>
          <w:color w:val="000000"/>
          <w:sz w:val="44"/>
          <w:szCs w:val="44"/>
        </w:rPr>
      </w:pPr>
      <w:r>
        <w:rPr>
          <w:rFonts w:hint="eastAsia"/>
          <w:b/>
          <w:color w:val="000000"/>
          <w:sz w:val="44"/>
          <w:szCs w:val="44"/>
        </w:rPr>
        <w:t>中国地球物理学会团体</w:t>
      </w:r>
      <w:r>
        <w:rPr>
          <w:b/>
          <w:color w:val="000000"/>
          <w:sz w:val="44"/>
          <w:szCs w:val="44"/>
        </w:rPr>
        <w:t>标准</w:t>
      </w:r>
    </w:p>
    <w:p w14:paraId="728E602C" w14:textId="3D78DECF" w:rsidR="00CD47A0" w:rsidRDefault="00000000">
      <w:pPr>
        <w:adjustRightInd w:val="0"/>
        <w:snapToGrid w:val="0"/>
        <w:spacing w:line="360" w:lineRule="auto"/>
        <w:ind w:firstLine="482"/>
        <w:jc w:val="right"/>
        <w:rPr>
          <w:b/>
          <w:color w:val="000000"/>
          <w:sz w:val="36"/>
          <w:szCs w:val="36"/>
        </w:rPr>
      </w:pPr>
      <w:r>
        <w:rPr>
          <w:rFonts w:ascii="Times New Roman" w:hAnsi="Times New Roman" w:cs="Times New Roman"/>
          <w:b/>
          <w:color w:val="000000"/>
          <w:sz w:val="24"/>
        </w:rPr>
        <w:t>T/CGS XXX—</w:t>
      </w:r>
      <w:r w:rsidR="006B003B">
        <w:rPr>
          <w:rFonts w:ascii="Times New Roman" w:hAnsi="Times New Roman" w:cs="Times New Roman" w:hint="eastAsia"/>
          <w:b/>
          <w:color w:val="000000"/>
          <w:sz w:val="24"/>
        </w:rPr>
        <w:t>2026</w:t>
      </w:r>
      <w:r>
        <w:rPr>
          <w:rFonts w:ascii="Times New Roman" w:hAnsi="Times New Roman" w:cs="Times New Roman"/>
          <w:b/>
          <w:color w:val="000000"/>
          <w:sz w:val="36"/>
          <w:szCs w:val="36"/>
        </w:rPr>
        <w:t xml:space="preserve"> </w:t>
      </w:r>
      <w:r>
        <w:rPr>
          <w:b/>
          <w:color w:val="000000"/>
          <w:sz w:val="36"/>
          <w:szCs w:val="36"/>
        </w:rPr>
        <w:t xml:space="preserve">   </w:t>
      </w:r>
    </w:p>
    <w:p w14:paraId="5B0C6561" w14:textId="77777777" w:rsidR="00CD47A0" w:rsidRDefault="00000000">
      <w:pPr>
        <w:adjustRightInd w:val="0"/>
        <w:snapToGrid w:val="0"/>
        <w:spacing w:line="360" w:lineRule="auto"/>
        <w:ind w:firstLine="720"/>
        <w:jc w:val="distribute"/>
        <w:rPr>
          <w:b/>
          <w:color w:val="000000"/>
          <w:sz w:val="36"/>
          <w:szCs w:val="36"/>
        </w:rPr>
      </w:pPr>
      <w:r>
        <w:rPr>
          <w:noProof/>
          <w:color w:val="000000"/>
          <w:sz w:val="36"/>
        </w:rPr>
        <mc:AlternateContent>
          <mc:Choice Requires="wps">
            <w:drawing>
              <wp:anchor distT="0" distB="0" distL="114300" distR="114300" simplePos="0" relativeHeight="251659264" behindDoc="0" locked="0" layoutInCell="1" allowOverlap="1" wp14:anchorId="3C679B58" wp14:editId="6DBF57C2">
                <wp:simplePos x="0" y="0"/>
                <wp:positionH relativeFrom="column">
                  <wp:posOffset>28575</wp:posOffset>
                </wp:positionH>
                <wp:positionV relativeFrom="paragraph">
                  <wp:posOffset>227330</wp:posOffset>
                </wp:positionV>
                <wp:extent cx="6605270" cy="17780"/>
                <wp:effectExtent l="0" t="4445" r="5080" b="6350"/>
                <wp:wrapNone/>
                <wp:docPr id="4" name="直接连接符 4"/>
                <wp:cNvGraphicFramePr/>
                <a:graphic xmlns:a="http://schemas.openxmlformats.org/drawingml/2006/main">
                  <a:graphicData uri="http://schemas.microsoft.com/office/word/2010/wordprocessingShape">
                    <wps:wsp>
                      <wps:cNvCnPr/>
                      <wps:spPr>
                        <a:xfrm>
                          <a:off x="0" y="0"/>
                          <a:ext cx="6605270" cy="177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2.25pt;margin-top:17.9pt;height:1.4pt;width:520.1pt;z-index:251659264;mso-width-relative:page;mso-height-relative:page;" filled="f" stroked="t" coordsize="21600,21600" o:gfxdata="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lR6Qt1wAAAAgBAAAPAAAAAAAAAAEAIAAAACIAAABkcnMvZG93bnJldi54bWxQSwECFAAU&#10;AAAACACHTuJATUwy7PIBAADcAwAADgAAAAAAAAABACAAAAAmAQAAZHJzL2Uyb0RvYy54bWxQSwUG&#10;AAAAAAYABgBZAQAAigUAAAAA&#10;">
                <v:fill on="f" focussize="0,0"/>
                <v:stroke color="#000000" joinstyle="round"/>
                <v:imagedata o:title=""/>
                <o:lock v:ext="edit" aspectratio="f"/>
              </v:line>
            </w:pict>
          </mc:Fallback>
        </mc:AlternateContent>
      </w:r>
      <w:r>
        <w:rPr>
          <w:b/>
          <w:color w:val="000000"/>
          <w:sz w:val="36"/>
          <w:szCs w:val="36"/>
        </w:rPr>
        <w:t xml:space="preserve">    </w:t>
      </w:r>
    </w:p>
    <w:p w14:paraId="059A32A7" w14:textId="77777777" w:rsidR="00CD47A0" w:rsidRDefault="00CD47A0">
      <w:pPr>
        <w:adjustRightInd w:val="0"/>
        <w:snapToGrid w:val="0"/>
        <w:spacing w:line="360" w:lineRule="auto"/>
        <w:ind w:firstLine="602"/>
        <w:jc w:val="center"/>
        <w:rPr>
          <w:b/>
          <w:color w:val="000000"/>
          <w:sz w:val="30"/>
          <w:szCs w:val="30"/>
        </w:rPr>
      </w:pPr>
    </w:p>
    <w:p w14:paraId="0795E02D" w14:textId="77777777" w:rsidR="00CD47A0" w:rsidRDefault="00CD47A0">
      <w:pPr>
        <w:adjustRightInd w:val="0"/>
        <w:snapToGrid w:val="0"/>
        <w:spacing w:line="360" w:lineRule="auto"/>
        <w:ind w:firstLine="602"/>
        <w:jc w:val="center"/>
        <w:rPr>
          <w:b/>
          <w:color w:val="000000"/>
          <w:sz w:val="30"/>
          <w:szCs w:val="30"/>
        </w:rPr>
      </w:pPr>
    </w:p>
    <w:p w14:paraId="1BC5D7F8" w14:textId="77777777" w:rsidR="00CD47A0" w:rsidRDefault="00CD47A0">
      <w:pPr>
        <w:adjustRightInd w:val="0"/>
        <w:snapToGrid w:val="0"/>
        <w:spacing w:line="360" w:lineRule="auto"/>
        <w:ind w:firstLine="602"/>
        <w:jc w:val="center"/>
        <w:rPr>
          <w:b/>
          <w:color w:val="000000"/>
          <w:sz w:val="30"/>
          <w:szCs w:val="30"/>
        </w:rPr>
      </w:pPr>
    </w:p>
    <w:p w14:paraId="0FFB12B9" w14:textId="77777777" w:rsidR="00CD47A0" w:rsidRDefault="00000000">
      <w:pPr>
        <w:pStyle w:val="a0"/>
        <w:numPr>
          <w:ilvl w:val="0"/>
          <w:numId w:val="0"/>
        </w:numPr>
        <w:adjustRightInd w:val="0"/>
        <w:snapToGrid w:val="0"/>
        <w:spacing w:before="312" w:after="312" w:line="360" w:lineRule="auto"/>
        <w:jc w:val="center"/>
        <w:outlineLvl w:val="9"/>
        <w:rPr>
          <w:rFonts w:cs="黑体" w:hint="eastAsia"/>
          <w:b/>
          <w:bCs/>
          <w:sz w:val="44"/>
          <w:szCs w:val="44"/>
        </w:rPr>
      </w:pPr>
      <w:r>
        <w:rPr>
          <w:rFonts w:cs="黑体" w:hint="eastAsia"/>
          <w:b/>
          <w:bCs/>
          <w:sz w:val="44"/>
          <w:szCs w:val="44"/>
        </w:rPr>
        <w:t>地面电磁探测系统（SEP）探测技术规程</w:t>
      </w:r>
    </w:p>
    <w:p w14:paraId="2E09FD94" w14:textId="77777777" w:rsidR="00CD47A0" w:rsidRDefault="00000000">
      <w:pPr>
        <w:spacing w:line="360" w:lineRule="auto"/>
        <w:ind w:firstLine="480"/>
        <w:jc w:val="center"/>
        <w:rPr>
          <w:bCs/>
          <w:color w:val="000000"/>
          <w:sz w:val="24"/>
        </w:rPr>
      </w:pPr>
      <w:r>
        <w:rPr>
          <w:bCs/>
          <w:color w:val="000000"/>
          <w:sz w:val="24"/>
        </w:rPr>
        <w:t>Technical specification for surface electromagnetic prospecting system (SEP)</w:t>
      </w:r>
    </w:p>
    <w:p w14:paraId="5051DD59" w14:textId="77777777" w:rsidR="00CD47A0" w:rsidRDefault="00CD47A0">
      <w:pPr>
        <w:pStyle w:val="af5"/>
      </w:pPr>
    </w:p>
    <w:p w14:paraId="6FA57D37" w14:textId="77777777" w:rsidR="00CD47A0" w:rsidRDefault="00CD47A0">
      <w:pPr>
        <w:adjustRightInd w:val="0"/>
        <w:snapToGrid w:val="0"/>
        <w:spacing w:line="360" w:lineRule="auto"/>
        <w:ind w:firstLine="602"/>
        <w:rPr>
          <w:b/>
          <w:color w:val="000000"/>
          <w:sz w:val="30"/>
          <w:szCs w:val="30"/>
        </w:rPr>
      </w:pPr>
    </w:p>
    <w:p w14:paraId="3AC197AC" w14:textId="77777777" w:rsidR="00CD47A0" w:rsidRDefault="00000000">
      <w:pPr>
        <w:spacing w:line="360" w:lineRule="auto"/>
        <w:ind w:firstLine="602"/>
        <w:jc w:val="center"/>
        <w:rPr>
          <w:b/>
          <w:color w:val="000000"/>
          <w:sz w:val="30"/>
          <w:szCs w:val="30"/>
        </w:rPr>
      </w:pPr>
      <w:proofErr w:type="gramStart"/>
      <w:r>
        <w:rPr>
          <w:b/>
          <w:color w:val="000000"/>
          <w:sz w:val="30"/>
          <w:szCs w:val="30"/>
        </w:rPr>
        <w:t>(</w:t>
      </w:r>
      <w:r>
        <w:rPr>
          <w:b/>
          <w:color w:val="000000"/>
          <w:sz w:val="30"/>
          <w:szCs w:val="30"/>
        </w:rPr>
        <w:t>征求</w:t>
      </w:r>
      <w:proofErr w:type="gramEnd"/>
      <w:r>
        <w:rPr>
          <w:b/>
          <w:color w:val="000000"/>
          <w:sz w:val="30"/>
          <w:szCs w:val="30"/>
        </w:rPr>
        <w:t>意见</w:t>
      </w:r>
      <w:proofErr w:type="gramStart"/>
      <w:r>
        <w:rPr>
          <w:b/>
          <w:color w:val="000000"/>
          <w:sz w:val="30"/>
          <w:szCs w:val="30"/>
        </w:rPr>
        <w:t>稿</w:t>
      </w:r>
      <w:r>
        <w:rPr>
          <w:b/>
          <w:color w:val="000000"/>
          <w:sz w:val="30"/>
          <w:szCs w:val="30"/>
        </w:rPr>
        <w:t>)</w:t>
      </w:r>
      <w:proofErr w:type="gramEnd"/>
    </w:p>
    <w:p w14:paraId="2FE48285" w14:textId="77777777" w:rsidR="00CD47A0" w:rsidRDefault="00CD47A0">
      <w:pPr>
        <w:adjustRightInd w:val="0"/>
        <w:snapToGrid w:val="0"/>
        <w:spacing w:line="360" w:lineRule="auto"/>
        <w:ind w:firstLine="602"/>
        <w:jc w:val="center"/>
        <w:rPr>
          <w:b/>
          <w:color w:val="000000"/>
          <w:sz w:val="30"/>
          <w:szCs w:val="30"/>
        </w:rPr>
      </w:pPr>
    </w:p>
    <w:p w14:paraId="6C6FE468" w14:textId="77777777" w:rsidR="00CD47A0" w:rsidRDefault="00CD47A0">
      <w:pPr>
        <w:adjustRightInd w:val="0"/>
        <w:snapToGrid w:val="0"/>
        <w:spacing w:line="360" w:lineRule="auto"/>
        <w:ind w:firstLine="602"/>
        <w:jc w:val="center"/>
        <w:rPr>
          <w:b/>
          <w:color w:val="000000"/>
          <w:sz w:val="30"/>
          <w:szCs w:val="30"/>
        </w:rPr>
      </w:pPr>
    </w:p>
    <w:p w14:paraId="1B9A5D8C" w14:textId="77777777" w:rsidR="00CD47A0" w:rsidRDefault="00CD47A0">
      <w:pPr>
        <w:adjustRightInd w:val="0"/>
        <w:snapToGrid w:val="0"/>
        <w:spacing w:line="360" w:lineRule="auto"/>
        <w:ind w:firstLine="602"/>
        <w:jc w:val="center"/>
        <w:rPr>
          <w:b/>
          <w:color w:val="000000"/>
          <w:sz w:val="30"/>
          <w:szCs w:val="30"/>
        </w:rPr>
      </w:pPr>
    </w:p>
    <w:p w14:paraId="0C038FC4" w14:textId="77777777" w:rsidR="00CD47A0" w:rsidRDefault="00CD47A0">
      <w:pPr>
        <w:adjustRightInd w:val="0"/>
        <w:snapToGrid w:val="0"/>
        <w:spacing w:line="360" w:lineRule="auto"/>
        <w:ind w:firstLine="602"/>
        <w:jc w:val="center"/>
        <w:rPr>
          <w:b/>
          <w:color w:val="000000"/>
          <w:sz w:val="30"/>
          <w:szCs w:val="30"/>
        </w:rPr>
      </w:pPr>
    </w:p>
    <w:p w14:paraId="7FAF05C0" w14:textId="77777777" w:rsidR="00CD47A0" w:rsidRDefault="00CD47A0">
      <w:pPr>
        <w:adjustRightInd w:val="0"/>
        <w:snapToGrid w:val="0"/>
        <w:spacing w:line="360" w:lineRule="auto"/>
        <w:ind w:firstLine="602"/>
        <w:jc w:val="center"/>
        <w:rPr>
          <w:b/>
          <w:color w:val="000000"/>
          <w:sz w:val="30"/>
          <w:szCs w:val="30"/>
        </w:rPr>
      </w:pPr>
    </w:p>
    <w:p w14:paraId="787C95C0" w14:textId="77777777" w:rsidR="00CD47A0" w:rsidRDefault="00CD47A0">
      <w:pPr>
        <w:adjustRightInd w:val="0"/>
        <w:snapToGrid w:val="0"/>
        <w:spacing w:line="360" w:lineRule="auto"/>
        <w:ind w:firstLine="602"/>
        <w:jc w:val="center"/>
        <w:rPr>
          <w:b/>
          <w:color w:val="000000"/>
          <w:sz w:val="30"/>
          <w:szCs w:val="30"/>
        </w:rPr>
      </w:pPr>
    </w:p>
    <w:p w14:paraId="5E89E274" w14:textId="77777777" w:rsidR="00CD47A0" w:rsidRDefault="00CD47A0">
      <w:pPr>
        <w:adjustRightInd w:val="0"/>
        <w:snapToGrid w:val="0"/>
        <w:spacing w:line="360" w:lineRule="auto"/>
        <w:ind w:firstLine="602"/>
        <w:jc w:val="center"/>
        <w:rPr>
          <w:b/>
          <w:color w:val="000000"/>
          <w:sz w:val="30"/>
          <w:szCs w:val="30"/>
        </w:rPr>
      </w:pPr>
    </w:p>
    <w:p w14:paraId="6AC17825" w14:textId="77777777" w:rsidR="00CD47A0" w:rsidRDefault="00CD47A0">
      <w:pPr>
        <w:adjustRightInd w:val="0"/>
        <w:snapToGrid w:val="0"/>
        <w:spacing w:line="360" w:lineRule="auto"/>
        <w:ind w:firstLine="602"/>
        <w:jc w:val="center"/>
        <w:rPr>
          <w:b/>
          <w:color w:val="000000"/>
          <w:sz w:val="30"/>
          <w:szCs w:val="30"/>
        </w:rPr>
      </w:pPr>
    </w:p>
    <w:p w14:paraId="1B2B14E3" w14:textId="06AB5D64" w:rsidR="00CD47A0" w:rsidRDefault="00000000">
      <w:pPr>
        <w:adjustRightInd w:val="0"/>
        <w:snapToGrid w:val="0"/>
        <w:spacing w:line="360" w:lineRule="auto"/>
        <w:ind w:firstLineChars="0" w:firstLine="0"/>
        <w:jc w:val="left"/>
        <w:rPr>
          <w:rFonts w:ascii="黑体" w:eastAsia="黑体" w:hAnsi="黑体" w:cs="黑体" w:hint="eastAsia"/>
          <w:color w:val="000000"/>
          <w:sz w:val="28"/>
          <w:szCs w:val="28"/>
        </w:rPr>
      </w:pPr>
      <w:r>
        <w:rPr>
          <w:rFonts w:ascii="黑体" w:eastAsia="黑体" w:hAnsi="黑体" w:cs="黑体" w:hint="eastAsia"/>
          <w:noProof/>
          <w:color w:val="000000"/>
          <w:sz w:val="28"/>
          <w:szCs w:val="28"/>
        </w:rPr>
        <mc:AlternateContent>
          <mc:Choice Requires="wps">
            <w:drawing>
              <wp:anchor distT="0" distB="0" distL="114300" distR="114300" simplePos="0" relativeHeight="251660288" behindDoc="0" locked="0" layoutInCell="1" allowOverlap="1" wp14:anchorId="609690AE" wp14:editId="0B394FEF">
                <wp:simplePos x="0" y="0"/>
                <wp:positionH relativeFrom="column">
                  <wp:posOffset>-11430</wp:posOffset>
                </wp:positionH>
                <wp:positionV relativeFrom="paragraph">
                  <wp:posOffset>288925</wp:posOffset>
                </wp:positionV>
                <wp:extent cx="5249545" cy="254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249545" cy="25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0.9pt;margin-top:22.75pt;height:0.2pt;width:413.35pt;z-index:251660288;mso-width-relative:page;mso-height-relative:page;" filled="f" stroked="t" coordsize="21600,21600" o:gfxdata="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k2q1zXAAAACAEAAA8AAAAAAAAAAQAgAAAAIgAAAGRycy9kb3ducmV2LnhtbFBL&#10;AQIUABQAAAAIAIdO4kAWADc19wEAAOUDAAAOAAAAAAAAAAEAIAAAACYBAABkcnMvZTJvRG9jLnht&#10;bFBLBQYAAAAABgAGAFkBAACPBQAAAAA=&#10;">
                <v:fill on="f" focussize="0,0"/>
                <v:stroke color="#000000" joinstyle="round"/>
                <v:imagedata o:title=""/>
                <o:lock v:ext="edit" aspectratio="f"/>
              </v:line>
            </w:pict>
          </mc:Fallback>
        </mc:AlternateContent>
      </w:r>
      <w:r>
        <w:rPr>
          <w:rFonts w:ascii="黑体" w:eastAsia="黑体" w:hAnsi="黑体" w:cs="黑体" w:hint="eastAsia"/>
          <w:b/>
          <w:color w:val="000000"/>
          <w:sz w:val="28"/>
          <w:szCs w:val="28"/>
        </w:rPr>
        <w:t xml:space="preserve">XXXX—XX—XX发布                  </w:t>
      </w:r>
      <w:r w:rsidR="00021EB2">
        <w:rPr>
          <w:rFonts w:ascii="黑体" w:eastAsia="黑体" w:hAnsi="黑体" w:cs="黑体" w:hint="eastAsia"/>
          <w:b/>
          <w:color w:val="000000"/>
          <w:sz w:val="28"/>
          <w:szCs w:val="28"/>
        </w:rPr>
        <w:t>XXXX</w:t>
      </w:r>
      <w:r>
        <w:rPr>
          <w:rFonts w:ascii="黑体" w:eastAsia="黑体" w:hAnsi="黑体" w:cs="黑体" w:hint="eastAsia"/>
          <w:b/>
          <w:color w:val="000000"/>
          <w:sz w:val="28"/>
          <w:szCs w:val="28"/>
        </w:rPr>
        <w:t xml:space="preserve">—XX—XX实施                             </w:t>
      </w:r>
    </w:p>
    <w:p w14:paraId="5ECCFC17" w14:textId="77777777" w:rsidR="00CD47A0" w:rsidRDefault="00000000">
      <w:pPr>
        <w:adjustRightInd w:val="0"/>
        <w:snapToGrid w:val="0"/>
        <w:spacing w:line="360" w:lineRule="auto"/>
        <w:ind w:firstLine="562"/>
        <w:jc w:val="center"/>
        <w:rPr>
          <w:rFonts w:ascii="黑体" w:eastAsia="黑体" w:hAnsi="黑体" w:cs="黑体" w:hint="eastAsia"/>
          <w:b/>
          <w:bCs/>
          <w:sz w:val="28"/>
          <w:szCs w:val="28"/>
        </w:rPr>
      </w:pPr>
      <w:r>
        <w:rPr>
          <w:rFonts w:ascii="黑体" w:eastAsia="黑体" w:hAnsi="黑体" w:cs="黑体" w:hint="eastAsia"/>
          <w:b/>
          <w:color w:val="000000"/>
          <w:sz w:val="28"/>
          <w:szCs w:val="28"/>
        </w:rPr>
        <w:t>中国地球物理学会   发布</w:t>
      </w:r>
      <w:r>
        <w:rPr>
          <w:rFonts w:ascii="黑体" w:eastAsia="黑体" w:hAnsi="黑体" w:cs="黑体" w:hint="eastAsia"/>
          <w:b/>
          <w:color w:val="000000"/>
          <w:sz w:val="28"/>
          <w:szCs w:val="28"/>
        </w:rPr>
        <w:br w:type="page"/>
      </w:r>
    </w:p>
    <w:sdt>
      <w:sdtPr>
        <w:rPr>
          <w:rFonts w:asciiTheme="minorHAnsi" w:eastAsiaTheme="minorEastAsia" w:hAnsiTheme="minorHAnsi" w:cstheme="minorBidi"/>
          <w:color w:val="auto"/>
          <w:kern w:val="2"/>
          <w:sz w:val="21"/>
          <w:szCs w:val="24"/>
          <w:lang w:val="zh-CN"/>
        </w:rPr>
        <w:id w:val="2064056107"/>
        <w:docPartObj>
          <w:docPartGallery w:val="Table of Contents"/>
          <w:docPartUnique/>
        </w:docPartObj>
      </w:sdtPr>
      <w:sdtEndPr>
        <w:rPr>
          <w:b/>
          <w:bCs/>
        </w:rPr>
      </w:sdtEndPr>
      <w:sdtContent>
        <w:p w14:paraId="78EFDDF6" w14:textId="77777777" w:rsidR="00CD47A0" w:rsidRDefault="00000000">
          <w:pPr>
            <w:pStyle w:val="TOC10"/>
            <w:ind w:firstLine="420"/>
            <w:jc w:val="center"/>
          </w:pPr>
          <w:r>
            <w:rPr>
              <w:lang w:val="zh-CN"/>
            </w:rPr>
            <w:t>目录</w:t>
          </w:r>
        </w:p>
        <w:p w14:paraId="25231DE1" w14:textId="77777777" w:rsidR="00CD47A0" w:rsidRDefault="00000000">
          <w:pPr>
            <w:pStyle w:val="TOC1"/>
            <w:tabs>
              <w:tab w:val="right" w:leader="dot" w:pos="8296"/>
            </w:tabs>
            <w:ind w:firstLine="420"/>
            <w:rPr>
              <w:sz w:val="22"/>
              <w14:ligatures w14:val="standardContextual"/>
            </w:rPr>
          </w:pPr>
          <w:r>
            <w:fldChar w:fldCharType="begin"/>
          </w:r>
          <w:r>
            <w:instrText xml:space="preserve"> TOC \o "1-3" \h \z \u </w:instrText>
          </w:r>
          <w:r>
            <w:fldChar w:fldCharType="separate"/>
          </w:r>
          <w:hyperlink w:anchor="_Toc230353269" w:history="1">
            <w:r w:rsidR="00CD47A0">
              <w:rPr>
                <w:rStyle w:val="af3"/>
                <w:spacing w:val="320"/>
              </w:rPr>
              <w:t>前</w:t>
            </w:r>
            <w:r w:rsidR="00CD47A0">
              <w:rPr>
                <w:rStyle w:val="af3"/>
              </w:rPr>
              <w:t>言</w:t>
            </w:r>
            <w:r w:rsidR="00CD47A0">
              <w:rPr>
                <w:rFonts w:hint="eastAsia"/>
              </w:rPr>
              <w:tab/>
            </w:r>
            <w:r w:rsidR="00CD47A0">
              <w:rPr>
                <w:rFonts w:hint="eastAsia"/>
              </w:rPr>
              <w:fldChar w:fldCharType="begin"/>
            </w:r>
            <w:r w:rsidR="00CD47A0">
              <w:rPr>
                <w:rFonts w:hint="eastAsia"/>
              </w:rPr>
              <w:instrText xml:space="preserve"> </w:instrText>
            </w:r>
            <w:r w:rsidR="00CD47A0">
              <w:instrText>PAGEREF _Toc230353269 \h</w:instrText>
            </w:r>
            <w:r w:rsidR="00CD47A0">
              <w:rPr>
                <w:rFonts w:hint="eastAsia"/>
              </w:rPr>
              <w:instrText xml:space="preserve"> </w:instrText>
            </w:r>
            <w:r w:rsidR="00CD47A0">
              <w:rPr>
                <w:rFonts w:hint="eastAsia"/>
              </w:rPr>
            </w:r>
            <w:r w:rsidR="00CD47A0">
              <w:rPr>
                <w:rFonts w:hint="eastAsia"/>
              </w:rPr>
              <w:fldChar w:fldCharType="separate"/>
            </w:r>
            <w:r w:rsidR="00CD47A0">
              <w:t>1</w:t>
            </w:r>
            <w:r w:rsidR="00CD47A0">
              <w:rPr>
                <w:rFonts w:hint="eastAsia"/>
              </w:rPr>
              <w:fldChar w:fldCharType="end"/>
            </w:r>
          </w:hyperlink>
        </w:p>
        <w:p w14:paraId="4F3E0FC9" w14:textId="77777777" w:rsidR="00CD47A0" w:rsidRDefault="00CD47A0">
          <w:pPr>
            <w:pStyle w:val="TOC1"/>
            <w:tabs>
              <w:tab w:val="right" w:leader="dot" w:pos="8296"/>
            </w:tabs>
            <w:ind w:firstLine="420"/>
            <w:rPr>
              <w:sz w:val="22"/>
              <w14:ligatures w14:val="standardContextual"/>
            </w:rPr>
          </w:pPr>
          <w:hyperlink w:anchor="_Toc230353270" w:history="1">
            <w:r>
              <w:rPr>
                <w:rStyle w:val="af3"/>
                <w:rFonts w:ascii="黑体" w:eastAsia="黑体" w:hAnsi="黑体" w:cs="黑体"/>
                <w:b/>
                <w:bCs/>
              </w:rPr>
              <w:t>1  范围</w:t>
            </w:r>
            <w:r>
              <w:rPr>
                <w:rFonts w:hint="eastAsia"/>
              </w:rPr>
              <w:tab/>
            </w:r>
            <w:r>
              <w:rPr>
                <w:rFonts w:hint="eastAsia"/>
              </w:rPr>
              <w:fldChar w:fldCharType="begin"/>
            </w:r>
            <w:r>
              <w:rPr>
                <w:rFonts w:hint="eastAsia"/>
              </w:rPr>
              <w:instrText xml:space="preserve"> </w:instrText>
            </w:r>
            <w:r>
              <w:instrText>PAGEREF _Toc230353270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1AF08410" w14:textId="77777777" w:rsidR="00CD47A0" w:rsidRDefault="00CD47A0">
          <w:pPr>
            <w:pStyle w:val="TOC1"/>
            <w:tabs>
              <w:tab w:val="right" w:leader="dot" w:pos="8296"/>
            </w:tabs>
            <w:ind w:firstLine="420"/>
            <w:rPr>
              <w:sz w:val="22"/>
              <w14:ligatures w14:val="standardContextual"/>
            </w:rPr>
          </w:pPr>
          <w:hyperlink w:anchor="_Toc230353271" w:history="1">
            <w:r>
              <w:rPr>
                <w:rStyle w:val="af3"/>
                <w:rFonts w:ascii="黑体" w:eastAsia="黑体" w:hAnsi="黑体" w:cs="黑体"/>
                <w:b/>
                <w:bCs/>
              </w:rPr>
              <w:t>2  规范性引用文件</w:t>
            </w:r>
            <w:r>
              <w:rPr>
                <w:rFonts w:hint="eastAsia"/>
              </w:rPr>
              <w:tab/>
            </w:r>
            <w:r>
              <w:rPr>
                <w:rFonts w:hint="eastAsia"/>
              </w:rPr>
              <w:fldChar w:fldCharType="begin"/>
            </w:r>
            <w:r>
              <w:rPr>
                <w:rFonts w:hint="eastAsia"/>
              </w:rPr>
              <w:instrText xml:space="preserve"> </w:instrText>
            </w:r>
            <w:r>
              <w:instrText>PAGEREF _Toc230353271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18071ED3" w14:textId="77777777" w:rsidR="00CD47A0" w:rsidRDefault="00CD47A0">
          <w:pPr>
            <w:pStyle w:val="TOC1"/>
            <w:tabs>
              <w:tab w:val="right" w:leader="dot" w:pos="8296"/>
            </w:tabs>
            <w:ind w:firstLine="420"/>
            <w:rPr>
              <w:sz w:val="22"/>
              <w14:ligatures w14:val="standardContextual"/>
            </w:rPr>
          </w:pPr>
          <w:hyperlink w:anchor="_Toc230353272" w:history="1">
            <w:r>
              <w:rPr>
                <w:rStyle w:val="af3"/>
                <w:rFonts w:ascii="黑体" w:eastAsia="黑体" w:hAnsi="黑体" w:cs="黑体"/>
                <w:b/>
                <w:bCs/>
              </w:rPr>
              <w:t>3  术语定义和符号</w:t>
            </w:r>
            <w:r>
              <w:rPr>
                <w:rFonts w:hint="eastAsia"/>
              </w:rPr>
              <w:tab/>
            </w:r>
            <w:r>
              <w:rPr>
                <w:rFonts w:hint="eastAsia"/>
              </w:rPr>
              <w:fldChar w:fldCharType="begin"/>
            </w:r>
            <w:r>
              <w:rPr>
                <w:rFonts w:hint="eastAsia"/>
              </w:rPr>
              <w:instrText xml:space="preserve"> </w:instrText>
            </w:r>
            <w:r>
              <w:instrText>PAGEREF _Toc230353272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6436434A" w14:textId="77777777" w:rsidR="00CD47A0" w:rsidRDefault="00CD47A0">
          <w:pPr>
            <w:pStyle w:val="TOC1"/>
            <w:tabs>
              <w:tab w:val="right" w:leader="dot" w:pos="8296"/>
            </w:tabs>
            <w:ind w:firstLine="420"/>
            <w:rPr>
              <w:sz w:val="22"/>
              <w14:ligatures w14:val="standardContextual"/>
            </w:rPr>
          </w:pPr>
          <w:hyperlink w:anchor="_Toc230353273" w:history="1">
            <w:r>
              <w:rPr>
                <w:rStyle w:val="af3"/>
                <w:rFonts w:ascii="黑体" w:eastAsia="黑体" w:hAnsi="黑体" w:cs="黑体"/>
                <w:b/>
                <w:bCs/>
              </w:rPr>
              <w:t>3.1 术语定义</w:t>
            </w:r>
            <w:r>
              <w:rPr>
                <w:rFonts w:hint="eastAsia"/>
              </w:rPr>
              <w:tab/>
            </w:r>
            <w:r>
              <w:rPr>
                <w:rFonts w:hint="eastAsia"/>
              </w:rPr>
              <w:fldChar w:fldCharType="begin"/>
            </w:r>
            <w:r>
              <w:rPr>
                <w:rFonts w:hint="eastAsia"/>
              </w:rPr>
              <w:instrText xml:space="preserve"> </w:instrText>
            </w:r>
            <w:r>
              <w:instrText>PAGEREF _Toc230353273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10C06865" w14:textId="77777777" w:rsidR="00CD47A0" w:rsidRDefault="00CD47A0">
          <w:pPr>
            <w:pStyle w:val="TOC1"/>
            <w:tabs>
              <w:tab w:val="right" w:leader="dot" w:pos="8296"/>
            </w:tabs>
            <w:ind w:firstLine="420"/>
            <w:rPr>
              <w:sz w:val="22"/>
              <w14:ligatures w14:val="standardContextual"/>
            </w:rPr>
          </w:pPr>
          <w:hyperlink w:anchor="_Toc230353274" w:history="1">
            <w:r>
              <w:rPr>
                <w:rStyle w:val="af3"/>
                <w:rFonts w:ascii="黑体" w:eastAsia="黑体" w:hAnsi="黑体" w:cs="黑体"/>
                <w:b/>
                <w:bCs/>
              </w:rPr>
              <w:t>3.2 符号</w:t>
            </w:r>
            <w:r>
              <w:rPr>
                <w:rFonts w:hint="eastAsia"/>
              </w:rPr>
              <w:tab/>
            </w:r>
            <w:r>
              <w:rPr>
                <w:rFonts w:hint="eastAsia"/>
              </w:rPr>
              <w:fldChar w:fldCharType="begin"/>
            </w:r>
            <w:r>
              <w:rPr>
                <w:rFonts w:hint="eastAsia"/>
              </w:rPr>
              <w:instrText xml:space="preserve"> </w:instrText>
            </w:r>
            <w:r>
              <w:instrText>PAGEREF _Toc230353274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40719D7E" w14:textId="77777777" w:rsidR="00CD47A0" w:rsidRDefault="00CD47A0">
          <w:pPr>
            <w:pStyle w:val="TOC1"/>
            <w:tabs>
              <w:tab w:val="right" w:leader="dot" w:pos="8296"/>
            </w:tabs>
            <w:ind w:firstLine="420"/>
            <w:rPr>
              <w:sz w:val="22"/>
              <w14:ligatures w14:val="standardContextual"/>
            </w:rPr>
          </w:pPr>
          <w:hyperlink w:anchor="_Toc230353275" w:history="1">
            <w:r>
              <w:rPr>
                <w:rStyle w:val="af3"/>
                <w:rFonts w:ascii="黑体" w:eastAsia="黑体" w:hAnsi="黑体" w:cs="黑体"/>
                <w:b/>
                <w:bCs/>
              </w:rPr>
              <w:t>4  系统组成</w:t>
            </w:r>
            <w:r>
              <w:rPr>
                <w:rFonts w:hint="eastAsia"/>
              </w:rPr>
              <w:tab/>
            </w:r>
            <w:r>
              <w:rPr>
                <w:rFonts w:hint="eastAsia"/>
              </w:rPr>
              <w:fldChar w:fldCharType="begin"/>
            </w:r>
            <w:r>
              <w:rPr>
                <w:rFonts w:hint="eastAsia"/>
              </w:rPr>
              <w:instrText xml:space="preserve"> </w:instrText>
            </w:r>
            <w:r>
              <w:instrText>PAGEREF _Toc230353275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61B3CA75" w14:textId="77777777" w:rsidR="00CD47A0" w:rsidRDefault="00CD47A0">
          <w:pPr>
            <w:pStyle w:val="TOC1"/>
            <w:tabs>
              <w:tab w:val="right" w:leader="dot" w:pos="8296"/>
            </w:tabs>
            <w:ind w:firstLine="420"/>
            <w:rPr>
              <w:sz w:val="22"/>
              <w14:ligatures w14:val="standardContextual"/>
            </w:rPr>
          </w:pPr>
          <w:hyperlink w:anchor="_Toc230353276" w:history="1">
            <w:r>
              <w:rPr>
                <w:rStyle w:val="af3"/>
                <w:rFonts w:ascii="黑体" w:eastAsia="黑体" w:hAnsi="黑体" w:cs="黑体"/>
                <w:b/>
                <w:bCs/>
              </w:rPr>
              <w:t>4.1 SEP系统发射机</w:t>
            </w:r>
            <w:r>
              <w:rPr>
                <w:rFonts w:hint="eastAsia"/>
              </w:rPr>
              <w:tab/>
            </w:r>
            <w:r>
              <w:rPr>
                <w:rFonts w:hint="eastAsia"/>
              </w:rPr>
              <w:fldChar w:fldCharType="begin"/>
            </w:r>
            <w:r>
              <w:rPr>
                <w:rFonts w:hint="eastAsia"/>
              </w:rPr>
              <w:instrText xml:space="preserve"> </w:instrText>
            </w:r>
            <w:r>
              <w:instrText>PAGEREF _Toc230353276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496AC29F" w14:textId="77777777" w:rsidR="00CD47A0" w:rsidRDefault="00CD47A0">
          <w:pPr>
            <w:pStyle w:val="TOC1"/>
            <w:tabs>
              <w:tab w:val="right" w:leader="dot" w:pos="8296"/>
            </w:tabs>
            <w:ind w:firstLine="420"/>
            <w:rPr>
              <w:sz w:val="22"/>
              <w14:ligatures w14:val="standardContextual"/>
            </w:rPr>
          </w:pPr>
          <w:hyperlink w:anchor="_Toc230353277" w:history="1">
            <w:r>
              <w:rPr>
                <w:rStyle w:val="af3"/>
                <w:rFonts w:ascii="黑体" w:eastAsia="黑体" w:hAnsi="黑体" w:cs="黑体"/>
                <w:b/>
                <w:bCs/>
              </w:rPr>
              <w:t>4.2  SEP系统采集站</w:t>
            </w:r>
            <w:r>
              <w:rPr>
                <w:rFonts w:hint="eastAsia"/>
              </w:rPr>
              <w:tab/>
            </w:r>
            <w:r>
              <w:rPr>
                <w:rFonts w:hint="eastAsia"/>
              </w:rPr>
              <w:fldChar w:fldCharType="begin"/>
            </w:r>
            <w:r>
              <w:rPr>
                <w:rFonts w:hint="eastAsia"/>
              </w:rPr>
              <w:instrText xml:space="preserve"> </w:instrText>
            </w:r>
            <w:r>
              <w:instrText>PAGEREF _Toc230353277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1FB9189E" w14:textId="77777777" w:rsidR="00CD47A0" w:rsidRDefault="00CD47A0">
          <w:pPr>
            <w:pStyle w:val="TOC1"/>
            <w:tabs>
              <w:tab w:val="right" w:leader="dot" w:pos="8296"/>
            </w:tabs>
            <w:ind w:firstLine="420"/>
            <w:rPr>
              <w:sz w:val="22"/>
              <w14:ligatures w14:val="standardContextual"/>
            </w:rPr>
          </w:pPr>
          <w:hyperlink w:anchor="_Toc230353278" w:history="1">
            <w:r>
              <w:rPr>
                <w:rStyle w:val="af3"/>
                <w:rFonts w:ascii="黑体" w:eastAsia="黑体" w:hAnsi="黑体" w:cs="黑体"/>
                <w:b/>
                <w:bCs/>
              </w:rPr>
              <w:t>4.3 SEP系统传感器</w:t>
            </w:r>
            <w:r>
              <w:rPr>
                <w:rFonts w:hint="eastAsia"/>
              </w:rPr>
              <w:tab/>
            </w:r>
            <w:r>
              <w:rPr>
                <w:rFonts w:hint="eastAsia"/>
              </w:rPr>
              <w:fldChar w:fldCharType="begin"/>
            </w:r>
            <w:r>
              <w:rPr>
                <w:rFonts w:hint="eastAsia"/>
              </w:rPr>
              <w:instrText xml:space="preserve"> </w:instrText>
            </w:r>
            <w:r>
              <w:instrText>PAGEREF _Toc230353278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1AF22A7C" w14:textId="77777777" w:rsidR="00CD47A0" w:rsidRDefault="00CD47A0">
          <w:pPr>
            <w:pStyle w:val="TOC1"/>
            <w:tabs>
              <w:tab w:val="right" w:leader="dot" w:pos="8296"/>
            </w:tabs>
            <w:ind w:firstLine="420"/>
            <w:rPr>
              <w:sz w:val="22"/>
              <w14:ligatures w14:val="standardContextual"/>
            </w:rPr>
          </w:pPr>
          <w:hyperlink w:anchor="_Toc230353279" w:history="1">
            <w:r>
              <w:rPr>
                <w:rStyle w:val="af3"/>
                <w:rFonts w:ascii="黑体" w:eastAsia="黑体" w:hAnsi="黑体" w:cs="黑体"/>
                <w:b/>
                <w:bCs/>
              </w:rPr>
              <w:t>4.4 SEP系统处理平台</w:t>
            </w:r>
            <w:r>
              <w:rPr>
                <w:rFonts w:hint="eastAsia"/>
              </w:rPr>
              <w:tab/>
            </w:r>
            <w:r>
              <w:rPr>
                <w:rFonts w:hint="eastAsia"/>
              </w:rPr>
              <w:fldChar w:fldCharType="begin"/>
            </w:r>
            <w:r>
              <w:rPr>
                <w:rFonts w:hint="eastAsia"/>
              </w:rPr>
              <w:instrText xml:space="preserve"> </w:instrText>
            </w:r>
            <w:r>
              <w:instrText>PAGEREF _Toc230353279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57549CA7" w14:textId="77777777" w:rsidR="00CD47A0" w:rsidRDefault="00CD47A0">
          <w:pPr>
            <w:pStyle w:val="TOC1"/>
            <w:tabs>
              <w:tab w:val="right" w:leader="dot" w:pos="8296"/>
            </w:tabs>
            <w:ind w:firstLine="420"/>
            <w:rPr>
              <w:sz w:val="22"/>
              <w14:ligatures w14:val="standardContextual"/>
            </w:rPr>
          </w:pPr>
          <w:hyperlink w:anchor="_Toc230353280" w:history="1">
            <w:r>
              <w:rPr>
                <w:rStyle w:val="af3"/>
                <w:rFonts w:ascii="黑体" w:eastAsia="黑体" w:hAnsi="黑体" w:cs="黑体"/>
                <w:b/>
                <w:bCs/>
              </w:rPr>
              <w:t>4.5  SEP系统指标</w:t>
            </w:r>
            <w:r>
              <w:rPr>
                <w:rFonts w:hint="eastAsia"/>
              </w:rPr>
              <w:tab/>
            </w:r>
            <w:r>
              <w:rPr>
                <w:rFonts w:hint="eastAsia"/>
              </w:rPr>
              <w:fldChar w:fldCharType="begin"/>
            </w:r>
            <w:r>
              <w:rPr>
                <w:rFonts w:hint="eastAsia"/>
              </w:rPr>
              <w:instrText xml:space="preserve"> </w:instrText>
            </w:r>
            <w:r>
              <w:instrText>PAGEREF _Toc230353280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640AA90E" w14:textId="77777777" w:rsidR="00CD47A0" w:rsidRDefault="00CD47A0">
          <w:pPr>
            <w:pStyle w:val="TOC1"/>
            <w:tabs>
              <w:tab w:val="right" w:leader="dot" w:pos="8296"/>
            </w:tabs>
            <w:ind w:firstLine="420"/>
            <w:rPr>
              <w:sz w:val="22"/>
              <w14:ligatures w14:val="standardContextual"/>
            </w:rPr>
          </w:pPr>
          <w:hyperlink w:anchor="_Toc230353281" w:history="1">
            <w:r>
              <w:rPr>
                <w:rStyle w:val="af3"/>
                <w:rFonts w:ascii="黑体" w:eastAsia="黑体" w:hAnsi="黑体" w:cs="黑体"/>
                <w:b/>
                <w:bCs/>
              </w:rPr>
              <w:t>5  一般技术要求</w:t>
            </w:r>
            <w:r>
              <w:rPr>
                <w:rFonts w:hint="eastAsia"/>
              </w:rPr>
              <w:tab/>
            </w:r>
            <w:r>
              <w:rPr>
                <w:rFonts w:hint="eastAsia"/>
              </w:rPr>
              <w:fldChar w:fldCharType="begin"/>
            </w:r>
            <w:r>
              <w:rPr>
                <w:rFonts w:hint="eastAsia"/>
              </w:rPr>
              <w:instrText xml:space="preserve"> </w:instrText>
            </w:r>
            <w:r>
              <w:instrText>PAGEREF _Toc230353281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080457A1" w14:textId="77777777" w:rsidR="00CD47A0" w:rsidRDefault="00CD47A0">
          <w:pPr>
            <w:pStyle w:val="TOC1"/>
            <w:tabs>
              <w:tab w:val="right" w:leader="dot" w:pos="8296"/>
            </w:tabs>
            <w:ind w:firstLine="420"/>
            <w:rPr>
              <w:sz w:val="22"/>
              <w14:ligatures w14:val="standardContextual"/>
            </w:rPr>
          </w:pPr>
          <w:hyperlink w:anchor="_Toc230353282" w:history="1">
            <w:r>
              <w:rPr>
                <w:rStyle w:val="af3"/>
                <w:rFonts w:ascii="黑体" w:eastAsia="黑体" w:hAnsi="黑体" w:cs="黑体"/>
                <w:b/>
                <w:bCs/>
              </w:rPr>
              <w:t>5.1基本要求</w:t>
            </w:r>
            <w:r>
              <w:rPr>
                <w:rFonts w:hint="eastAsia"/>
              </w:rPr>
              <w:tab/>
            </w:r>
            <w:r>
              <w:rPr>
                <w:rFonts w:hint="eastAsia"/>
              </w:rPr>
              <w:fldChar w:fldCharType="begin"/>
            </w:r>
            <w:r>
              <w:rPr>
                <w:rFonts w:hint="eastAsia"/>
              </w:rPr>
              <w:instrText xml:space="preserve"> </w:instrText>
            </w:r>
            <w:r>
              <w:instrText>PAGEREF _Toc230353282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29A2714A" w14:textId="77777777" w:rsidR="00CD47A0" w:rsidRDefault="00CD47A0">
          <w:pPr>
            <w:pStyle w:val="TOC1"/>
            <w:tabs>
              <w:tab w:val="right" w:leader="dot" w:pos="8296"/>
            </w:tabs>
            <w:ind w:firstLine="420"/>
            <w:rPr>
              <w:sz w:val="22"/>
              <w14:ligatures w14:val="standardContextual"/>
            </w:rPr>
          </w:pPr>
          <w:hyperlink w:anchor="_Toc230353283" w:history="1">
            <w:r>
              <w:rPr>
                <w:rStyle w:val="af3"/>
                <w:rFonts w:ascii="黑体" w:eastAsia="黑体" w:hAnsi="黑体" w:cs="黑体"/>
                <w:b/>
                <w:bCs/>
              </w:rPr>
              <w:t>5.2 检测与标定</w:t>
            </w:r>
            <w:r>
              <w:rPr>
                <w:rFonts w:hint="eastAsia"/>
              </w:rPr>
              <w:tab/>
            </w:r>
            <w:r>
              <w:rPr>
                <w:rFonts w:hint="eastAsia"/>
              </w:rPr>
              <w:fldChar w:fldCharType="begin"/>
            </w:r>
            <w:r>
              <w:rPr>
                <w:rFonts w:hint="eastAsia"/>
              </w:rPr>
              <w:instrText xml:space="preserve"> </w:instrText>
            </w:r>
            <w:r>
              <w:instrText>PAGEREF _Toc230353283 \h</w:instrText>
            </w:r>
            <w:r>
              <w:rPr>
                <w:rFonts w:hint="eastAsia"/>
              </w:rPr>
              <w:instrText xml:space="preserve"> </w:instrText>
            </w:r>
            <w:r>
              <w:rPr>
                <w:rFonts w:hint="eastAsia"/>
              </w:rPr>
            </w:r>
            <w:r>
              <w:rPr>
                <w:rFonts w:hint="eastAsia"/>
              </w:rPr>
              <w:fldChar w:fldCharType="separate"/>
            </w:r>
            <w:r>
              <w:t>6</w:t>
            </w:r>
            <w:r>
              <w:rPr>
                <w:rFonts w:hint="eastAsia"/>
              </w:rPr>
              <w:fldChar w:fldCharType="end"/>
            </w:r>
          </w:hyperlink>
        </w:p>
        <w:p w14:paraId="57E0E764" w14:textId="77777777" w:rsidR="00CD47A0" w:rsidRDefault="00CD47A0">
          <w:pPr>
            <w:pStyle w:val="TOC1"/>
            <w:tabs>
              <w:tab w:val="right" w:leader="dot" w:pos="8296"/>
            </w:tabs>
            <w:ind w:firstLine="420"/>
            <w:rPr>
              <w:sz w:val="22"/>
              <w14:ligatures w14:val="standardContextual"/>
            </w:rPr>
          </w:pPr>
          <w:hyperlink w:anchor="_Toc230353284" w:history="1">
            <w:r>
              <w:rPr>
                <w:rStyle w:val="af3"/>
                <w:rFonts w:ascii="黑体" w:eastAsia="黑体" w:hAnsi="黑体" w:cs="黑体"/>
                <w:b/>
                <w:bCs/>
              </w:rPr>
              <w:t>5.3 使用与维护</w:t>
            </w:r>
            <w:r>
              <w:rPr>
                <w:rFonts w:hint="eastAsia"/>
              </w:rPr>
              <w:tab/>
            </w:r>
            <w:r>
              <w:rPr>
                <w:rFonts w:hint="eastAsia"/>
              </w:rPr>
              <w:fldChar w:fldCharType="begin"/>
            </w:r>
            <w:r>
              <w:rPr>
                <w:rFonts w:hint="eastAsia"/>
              </w:rPr>
              <w:instrText xml:space="preserve"> </w:instrText>
            </w:r>
            <w:r>
              <w:instrText>PAGEREF _Toc230353284 \h</w:instrText>
            </w:r>
            <w:r>
              <w:rPr>
                <w:rFonts w:hint="eastAsia"/>
              </w:rPr>
              <w:instrText xml:space="preserve"> </w:instrText>
            </w:r>
            <w:r>
              <w:rPr>
                <w:rFonts w:hint="eastAsia"/>
              </w:rPr>
            </w:r>
            <w:r>
              <w:rPr>
                <w:rFonts w:hint="eastAsia"/>
              </w:rPr>
              <w:fldChar w:fldCharType="separate"/>
            </w:r>
            <w:r>
              <w:t>6</w:t>
            </w:r>
            <w:r>
              <w:rPr>
                <w:rFonts w:hint="eastAsia"/>
              </w:rPr>
              <w:fldChar w:fldCharType="end"/>
            </w:r>
          </w:hyperlink>
        </w:p>
        <w:p w14:paraId="6A19DA6A" w14:textId="77777777" w:rsidR="00CD47A0" w:rsidRDefault="00CD47A0">
          <w:pPr>
            <w:pStyle w:val="TOC1"/>
            <w:tabs>
              <w:tab w:val="right" w:leader="dot" w:pos="8296"/>
            </w:tabs>
            <w:ind w:firstLine="420"/>
            <w:rPr>
              <w:sz w:val="22"/>
              <w14:ligatures w14:val="standardContextual"/>
            </w:rPr>
          </w:pPr>
          <w:hyperlink w:anchor="_Toc230353285" w:history="1">
            <w:r>
              <w:rPr>
                <w:rStyle w:val="af3"/>
                <w:rFonts w:ascii="黑体" w:eastAsia="黑体" w:hAnsi="黑体" w:cs="黑体"/>
                <w:b/>
                <w:bCs/>
              </w:rPr>
              <w:t>6  使用与维护要求</w:t>
            </w:r>
            <w:r>
              <w:rPr>
                <w:rFonts w:hint="eastAsia"/>
              </w:rPr>
              <w:tab/>
            </w:r>
            <w:r>
              <w:rPr>
                <w:rFonts w:hint="eastAsia"/>
              </w:rPr>
              <w:fldChar w:fldCharType="begin"/>
            </w:r>
            <w:r>
              <w:rPr>
                <w:rFonts w:hint="eastAsia"/>
              </w:rPr>
              <w:instrText xml:space="preserve"> </w:instrText>
            </w:r>
            <w:r>
              <w:instrText>PAGEREF _Toc230353285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7CDD14B5" w14:textId="77777777" w:rsidR="00CD47A0" w:rsidRDefault="00CD47A0">
          <w:pPr>
            <w:pStyle w:val="TOC1"/>
            <w:tabs>
              <w:tab w:val="right" w:leader="dot" w:pos="8296"/>
            </w:tabs>
            <w:ind w:firstLine="420"/>
            <w:rPr>
              <w:sz w:val="22"/>
              <w14:ligatures w14:val="standardContextual"/>
            </w:rPr>
          </w:pPr>
          <w:hyperlink w:anchor="_Toc230353286" w:history="1">
            <w:r>
              <w:rPr>
                <w:rStyle w:val="af3"/>
                <w:rFonts w:ascii="黑体" w:eastAsia="黑体" w:hAnsi="黑体" w:cs="黑体"/>
                <w:b/>
                <w:bCs/>
              </w:rPr>
              <w:t>6.1 SEP系统使用流程</w:t>
            </w:r>
            <w:r>
              <w:rPr>
                <w:rFonts w:hint="eastAsia"/>
              </w:rPr>
              <w:tab/>
            </w:r>
            <w:r>
              <w:rPr>
                <w:rFonts w:hint="eastAsia"/>
              </w:rPr>
              <w:fldChar w:fldCharType="begin"/>
            </w:r>
            <w:r>
              <w:rPr>
                <w:rFonts w:hint="eastAsia"/>
              </w:rPr>
              <w:instrText xml:space="preserve"> </w:instrText>
            </w:r>
            <w:r>
              <w:instrText>PAGEREF _Toc230353286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48705BCA" w14:textId="77777777" w:rsidR="00CD47A0" w:rsidRDefault="00CD47A0">
          <w:pPr>
            <w:pStyle w:val="TOC1"/>
            <w:tabs>
              <w:tab w:val="right" w:leader="dot" w:pos="8296"/>
            </w:tabs>
            <w:ind w:firstLine="420"/>
            <w:rPr>
              <w:sz w:val="22"/>
              <w14:ligatures w14:val="standardContextual"/>
            </w:rPr>
          </w:pPr>
          <w:hyperlink w:anchor="_Toc230353287" w:history="1">
            <w:r>
              <w:rPr>
                <w:rStyle w:val="af3"/>
                <w:rFonts w:ascii="黑体" w:eastAsia="黑体" w:hAnsi="黑体" w:cs="黑体"/>
                <w:b/>
                <w:bCs/>
              </w:rPr>
              <w:t>6.2 SEP仪器使用的基本要求</w:t>
            </w:r>
            <w:r>
              <w:rPr>
                <w:rFonts w:hint="eastAsia"/>
              </w:rPr>
              <w:tab/>
            </w:r>
            <w:r>
              <w:rPr>
                <w:rFonts w:hint="eastAsia"/>
              </w:rPr>
              <w:fldChar w:fldCharType="begin"/>
            </w:r>
            <w:r>
              <w:rPr>
                <w:rFonts w:hint="eastAsia"/>
              </w:rPr>
              <w:instrText xml:space="preserve"> </w:instrText>
            </w:r>
            <w:r>
              <w:instrText>PAGEREF _Toc230353287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197E2DED" w14:textId="77777777" w:rsidR="00CD47A0" w:rsidRDefault="00CD47A0">
          <w:pPr>
            <w:pStyle w:val="TOC1"/>
            <w:tabs>
              <w:tab w:val="right" w:leader="dot" w:pos="8296"/>
            </w:tabs>
            <w:ind w:firstLine="420"/>
            <w:rPr>
              <w:sz w:val="22"/>
              <w14:ligatures w14:val="standardContextual"/>
            </w:rPr>
          </w:pPr>
          <w:hyperlink w:anchor="_Toc230353288" w:history="1">
            <w:r>
              <w:rPr>
                <w:rStyle w:val="af3"/>
                <w:rFonts w:ascii="黑体" w:eastAsia="黑体" w:hAnsi="黑体" w:cs="黑体"/>
                <w:b/>
                <w:bCs/>
              </w:rPr>
              <w:t>7  野外施工</w:t>
            </w:r>
            <w:r>
              <w:rPr>
                <w:rFonts w:hint="eastAsia"/>
              </w:rPr>
              <w:tab/>
            </w:r>
            <w:r>
              <w:rPr>
                <w:rFonts w:hint="eastAsia"/>
              </w:rPr>
              <w:fldChar w:fldCharType="begin"/>
            </w:r>
            <w:r>
              <w:rPr>
                <w:rFonts w:hint="eastAsia"/>
              </w:rPr>
              <w:instrText xml:space="preserve"> </w:instrText>
            </w:r>
            <w:r>
              <w:instrText>PAGEREF _Toc230353288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18B492E6" w14:textId="77777777" w:rsidR="00CD47A0" w:rsidRDefault="00CD47A0">
          <w:pPr>
            <w:pStyle w:val="TOC1"/>
            <w:tabs>
              <w:tab w:val="right" w:leader="dot" w:pos="8296"/>
            </w:tabs>
            <w:ind w:firstLine="420"/>
            <w:rPr>
              <w:sz w:val="22"/>
              <w14:ligatures w14:val="standardContextual"/>
            </w:rPr>
          </w:pPr>
          <w:hyperlink w:anchor="_Toc230353289" w:history="1">
            <w:r>
              <w:rPr>
                <w:rStyle w:val="af3"/>
                <w:rFonts w:ascii="黑体" w:eastAsia="黑体" w:hAnsi="黑体" w:cs="黑体"/>
                <w:b/>
                <w:bCs/>
              </w:rPr>
              <w:t>7.1 电性参数测定</w:t>
            </w:r>
            <w:r>
              <w:rPr>
                <w:rFonts w:hint="eastAsia"/>
              </w:rPr>
              <w:tab/>
            </w:r>
            <w:r>
              <w:rPr>
                <w:rFonts w:hint="eastAsia"/>
              </w:rPr>
              <w:fldChar w:fldCharType="begin"/>
            </w:r>
            <w:r>
              <w:rPr>
                <w:rFonts w:hint="eastAsia"/>
              </w:rPr>
              <w:instrText xml:space="preserve"> </w:instrText>
            </w:r>
            <w:r>
              <w:instrText>PAGEREF _Toc230353289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62744510" w14:textId="77777777" w:rsidR="00CD47A0" w:rsidRDefault="00CD47A0">
          <w:pPr>
            <w:pStyle w:val="TOC1"/>
            <w:tabs>
              <w:tab w:val="right" w:leader="dot" w:pos="8296"/>
            </w:tabs>
            <w:ind w:firstLine="420"/>
            <w:rPr>
              <w:sz w:val="22"/>
              <w14:ligatures w14:val="standardContextual"/>
            </w:rPr>
          </w:pPr>
          <w:hyperlink w:anchor="_Toc230353290" w:history="1">
            <w:r>
              <w:rPr>
                <w:rStyle w:val="af3"/>
                <w:rFonts w:ascii="黑体" w:eastAsia="黑体" w:hAnsi="黑体" w:cs="黑体"/>
                <w:b/>
                <w:bCs/>
              </w:rPr>
              <w:t>7.2 测地工作</w:t>
            </w:r>
            <w:r>
              <w:rPr>
                <w:rFonts w:hint="eastAsia"/>
              </w:rPr>
              <w:tab/>
            </w:r>
            <w:r>
              <w:rPr>
                <w:rFonts w:hint="eastAsia"/>
              </w:rPr>
              <w:fldChar w:fldCharType="begin"/>
            </w:r>
            <w:r>
              <w:rPr>
                <w:rFonts w:hint="eastAsia"/>
              </w:rPr>
              <w:instrText xml:space="preserve"> </w:instrText>
            </w:r>
            <w:r>
              <w:instrText>PAGEREF _Toc230353290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14:paraId="218A69E8" w14:textId="77777777" w:rsidR="00CD47A0" w:rsidRDefault="00CD47A0">
          <w:pPr>
            <w:pStyle w:val="TOC1"/>
            <w:tabs>
              <w:tab w:val="right" w:leader="dot" w:pos="8296"/>
            </w:tabs>
            <w:ind w:firstLine="420"/>
            <w:rPr>
              <w:sz w:val="22"/>
              <w14:ligatures w14:val="standardContextual"/>
            </w:rPr>
          </w:pPr>
          <w:hyperlink w:anchor="_Toc230353291" w:history="1">
            <w:r>
              <w:rPr>
                <w:rStyle w:val="af3"/>
                <w:rFonts w:ascii="黑体" w:eastAsia="黑体" w:hAnsi="黑体" w:cs="黑体"/>
                <w:b/>
                <w:bCs/>
              </w:rPr>
              <w:t>7.3 测网布设</w:t>
            </w:r>
            <w:r>
              <w:rPr>
                <w:rFonts w:hint="eastAsia"/>
              </w:rPr>
              <w:tab/>
            </w:r>
            <w:r>
              <w:rPr>
                <w:rFonts w:hint="eastAsia"/>
              </w:rPr>
              <w:fldChar w:fldCharType="begin"/>
            </w:r>
            <w:r>
              <w:rPr>
                <w:rFonts w:hint="eastAsia"/>
              </w:rPr>
              <w:instrText xml:space="preserve"> </w:instrText>
            </w:r>
            <w:r>
              <w:instrText>PAGEREF _Toc230353291 \h</w:instrText>
            </w:r>
            <w:r>
              <w:rPr>
                <w:rFonts w:hint="eastAsia"/>
              </w:rPr>
              <w:instrText xml:space="preserve"> </w:instrText>
            </w:r>
            <w:r>
              <w:rPr>
                <w:rFonts w:hint="eastAsia"/>
              </w:rPr>
            </w:r>
            <w:r>
              <w:rPr>
                <w:rFonts w:hint="eastAsia"/>
              </w:rPr>
              <w:fldChar w:fldCharType="separate"/>
            </w:r>
            <w:r>
              <w:t>8</w:t>
            </w:r>
            <w:r>
              <w:rPr>
                <w:rFonts w:hint="eastAsia"/>
              </w:rPr>
              <w:fldChar w:fldCharType="end"/>
            </w:r>
          </w:hyperlink>
        </w:p>
        <w:p w14:paraId="560D9CC2" w14:textId="77777777" w:rsidR="00CD47A0" w:rsidRDefault="00CD47A0">
          <w:pPr>
            <w:pStyle w:val="TOC1"/>
            <w:tabs>
              <w:tab w:val="right" w:leader="dot" w:pos="8296"/>
            </w:tabs>
            <w:ind w:firstLine="420"/>
            <w:rPr>
              <w:sz w:val="22"/>
              <w14:ligatures w14:val="standardContextual"/>
            </w:rPr>
          </w:pPr>
          <w:hyperlink w:anchor="_Toc230353292" w:history="1">
            <w:r>
              <w:rPr>
                <w:rStyle w:val="af3"/>
                <w:rFonts w:ascii="黑体" w:eastAsia="黑体" w:hAnsi="黑体" w:cs="黑体"/>
                <w:b/>
                <w:bCs/>
              </w:rPr>
              <w:t>7.4 接收装置布设</w:t>
            </w:r>
            <w:r>
              <w:rPr>
                <w:rFonts w:hint="eastAsia"/>
              </w:rPr>
              <w:tab/>
            </w:r>
            <w:r>
              <w:rPr>
                <w:rFonts w:hint="eastAsia"/>
              </w:rPr>
              <w:fldChar w:fldCharType="begin"/>
            </w:r>
            <w:r>
              <w:rPr>
                <w:rFonts w:hint="eastAsia"/>
              </w:rPr>
              <w:instrText xml:space="preserve"> </w:instrText>
            </w:r>
            <w:r>
              <w:instrText>PAGEREF _Toc230353292 \h</w:instrText>
            </w:r>
            <w:r>
              <w:rPr>
                <w:rFonts w:hint="eastAsia"/>
              </w:rPr>
              <w:instrText xml:space="preserve"> </w:instrText>
            </w:r>
            <w:r>
              <w:rPr>
                <w:rFonts w:hint="eastAsia"/>
              </w:rPr>
            </w:r>
            <w:r>
              <w:rPr>
                <w:rFonts w:hint="eastAsia"/>
              </w:rPr>
              <w:fldChar w:fldCharType="separate"/>
            </w:r>
            <w:r>
              <w:t>8</w:t>
            </w:r>
            <w:r>
              <w:rPr>
                <w:rFonts w:hint="eastAsia"/>
              </w:rPr>
              <w:fldChar w:fldCharType="end"/>
            </w:r>
          </w:hyperlink>
        </w:p>
        <w:p w14:paraId="63439026" w14:textId="77777777" w:rsidR="00CD47A0" w:rsidRDefault="00CD47A0">
          <w:pPr>
            <w:pStyle w:val="TOC1"/>
            <w:tabs>
              <w:tab w:val="right" w:leader="dot" w:pos="8296"/>
            </w:tabs>
            <w:ind w:firstLine="420"/>
            <w:rPr>
              <w:sz w:val="22"/>
              <w14:ligatures w14:val="standardContextual"/>
            </w:rPr>
          </w:pPr>
          <w:hyperlink w:anchor="_Toc230353293" w:history="1">
            <w:r>
              <w:rPr>
                <w:rStyle w:val="af3"/>
                <w:rFonts w:ascii="黑体" w:eastAsia="黑体" w:hAnsi="黑体" w:cs="黑体"/>
                <w:b/>
                <w:bCs/>
              </w:rPr>
              <w:t>7.5 安全施工</w:t>
            </w:r>
            <w:r>
              <w:rPr>
                <w:rFonts w:hint="eastAsia"/>
              </w:rPr>
              <w:tab/>
            </w:r>
            <w:r>
              <w:rPr>
                <w:rFonts w:hint="eastAsia"/>
              </w:rPr>
              <w:fldChar w:fldCharType="begin"/>
            </w:r>
            <w:r>
              <w:rPr>
                <w:rFonts w:hint="eastAsia"/>
              </w:rPr>
              <w:instrText xml:space="preserve"> </w:instrText>
            </w:r>
            <w:r>
              <w:instrText>PAGEREF _Toc230353293 \h</w:instrText>
            </w:r>
            <w:r>
              <w:rPr>
                <w:rFonts w:hint="eastAsia"/>
              </w:rPr>
              <w:instrText xml:space="preserve"> </w:instrText>
            </w:r>
            <w:r>
              <w:rPr>
                <w:rFonts w:hint="eastAsia"/>
              </w:rPr>
            </w:r>
            <w:r>
              <w:rPr>
                <w:rFonts w:hint="eastAsia"/>
              </w:rPr>
              <w:fldChar w:fldCharType="separate"/>
            </w:r>
            <w:r>
              <w:t>10</w:t>
            </w:r>
            <w:r>
              <w:rPr>
                <w:rFonts w:hint="eastAsia"/>
              </w:rPr>
              <w:fldChar w:fldCharType="end"/>
            </w:r>
          </w:hyperlink>
        </w:p>
        <w:p w14:paraId="31FDDB32" w14:textId="77777777" w:rsidR="00CD47A0" w:rsidRDefault="00CD47A0">
          <w:pPr>
            <w:pStyle w:val="TOC1"/>
            <w:tabs>
              <w:tab w:val="right" w:leader="dot" w:pos="8296"/>
            </w:tabs>
            <w:ind w:firstLine="420"/>
            <w:rPr>
              <w:sz w:val="22"/>
              <w14:ligatures w14:val="standardContextual"/>
            </w:rPr>
          </w:pPr>
          <w:hyperlink w:anchor="_Toc230353294" w:history="1">
            <w:r>
              <w:rPr>
                <w:rStyle w:val="af3"/>
                <w:rFonts w:ascii="黑体" w:eastAsia="黑体" w:hAnsi="黑体" w:cs="黑体"/>
                <w:b/>
                <w:bCs/>
              </w:rPr>
              <w:t>7.6 试验工作</w:t>
            </w:r>
            <w:r>
              <w:rPr>
                <w:rFonts w:hint="eastAsia"/>
              </w:rPr>
              <w:tab/>
            </w:r>
            <w:r>
              <w:rPr>
                <w:rFonts w:hint="eastAsia"/>
              </w:rPr>
              <w:fldChar w:fldCharType="begin"/>
            </w:r>
            <w:r>
              <w:rPr>
                <w:rFonts w:hint="eastAsia"/>
              </w:rPr>
              <w:instrText xml:space="preserve"> </w:instrText>
            </w:r>
            <w:r>
              <w:instrText>PAGEREF _Toc230353294 \h</w:instrText>
            </w:r>
            <w:r>
              <w:rPr>
                <w:rFonts w:hint="eastAsia"/>
              </w:rPr>
              <w:instrText xml:space="preserve"> </w:instrText>
            </w:r>
            <w:r>
              <w:rPr>
                <w:rFonts w:hint="eastAsia"/>
              </w:rPr>
            </w:r>
            <w:r>
              <w:rPr>
                <w:rFonts w:hint="eastAsia"/>
              </w:rPr>
              <w:fldChar w:fldCharType="separate"/>
            </w:r>
            <w:r>
              <w:t>10</w:t>
            </w:r>
            <w:r>
              <w:rPr>
                <w:rFonts w:hint="eastAsia"/>
              </w:rPr>
              <w:fldChar w:fldCharType="end"/>
            </w:r>
          </w:hyperlink>
        </w:p>
        <w:p w14:paraId="72CEDB63" w14:textId="77777777" w:rsidR="00CD47A0" w:rsidRDefault="00CD47A0">
          <w:pPr>
            <w:pStyle w:val="TOC1"/>
            <w:tabs>
              <w:tab w:val="right" w:leader="dot" w:pos="8296"/>
            </w:tabs>
            <w:ind w:firstLine="420"/>
            <w:rPr>
              <w:sz w:val="22"/>
              <w14:ligatures w14:val="standardContextual"/>
            </w:rPr>
          </w:pPr>
          <w:hyperlink w:anchor="_Toc230353295" w:history="1">
            <w:r>
              <w:rPr>
                <w:rStyle w:val="af3"/>
                <w:rFonts w:ascii="黑体" w:eastAsia="黑体" w:hAnsi="黑体" w:cs="黑体"/>
                <w:b/>
                <w:bCs/>
              </w:rPr>
              <w:t>7.7  检测与标定</w:t>
            </w:r>
            <w:r>
              <w:rPr>
                <w:rFonts w:hint="eastAsia"/>
              </w:rPr>
              <w:tab/>
            </w:r>
            <w:r>
              <w:rPr>
                <w:rFonts w:hint="eastAsia"/>
              </w:rPr>
              <w:fldChar w:fldCharType="begin"/>
            </w:r>
            <w:r>
              <w:rPr>
                <w:rFonts w:hint="eastAsia"/>
              </w:rPr>
              <w:instrText xml:space="preserve"> </w:instrText>
            </w:r>
            <w:r>
              <w:instrText>PAGEREF _Toc230353295 \h</w:instrText>
            </w:r>
            <w:r>
              <w:rPr>
                <w:rFonts w:hint="eastAsia"/>
              </w:rPr>
              <w:instrText xml:space="preserve"> </w:instrText>
            </w:r>
            <w:r>
              <w:rPr>
                <w:rFonts w:hint="eastAsia"/>
              </w:rPr>
            </w:r>
            <w:r>
              <w:rPr>
                <w:rFonts w:hint="eastAsia"/>
              </w:rPr>
              <w:fldChar w:fldCharType="separate"/>
            </w:r>
            <w:r>
              <w:t>11</w:t>
            </w:r>
            <w:r>
              <w:rPr>
                <w:rFonts w:hint="eastAsia"/>
              </w:rPr>
              <w:fldChar w:fldCharType="end"/>
            </w:r>
          </w:hyperlink>
        </w:p>
        <w:p w14:paraId="04C35716" w14:textId="77777777" w:rsidR="00CD47A0" w:rsidRDefault="00CD47A0">
          <w:pPr>
            <w:pStyle w:val="TOC1"/>
            <w:tabs>
              <w:tab w:val="right" w:leader="dot" w:pos="8296"/>
            </w:tabs>
            <w:ind w:firstLine="420"/>
            <w:rPr>
              <w:sz w:val="22"/>
              <w14:ligatures w14:val="standardContextual"/>
            </w:rPr>
          </w:pPr>
          <w:hyperlink w:anchor="_Toc230353296" w:history="1">
            <w:r>
              <w:rPr>
                <w:rStyle w:val="af3"/>
                <w:rFonts w:ascii="黑体" w:eastAsia="黑体" w:hAnsi="黑体" w:cs="黑体"/>
                <w:b/>
                <w:bCs/>
              </w:rPr>
              <w:t>7.8 数据采集</w:t>
            </w:r>
            <w:r>
              <w:rPr>
                <w:rFonts w:hint="eastAsia"/>
              </w:rPr>
              <w:tab/>
            </w:r>
            <w:r>
              <w:rPr>
                <w:rFonts w:hint="eastAsia"/>
              </w:rPr>
              <w:fldChar w:fldCharType="begin"/>
            </w:r>
            <w:r>
              <w:rPr>
                <w:rFonts w:hint="eastAsia"/>
              </w:rPr>
              <w:instrText xml:space="preserve"> </w:instrText>
            </w:r>
            <w:r>
              <w:instrText>PAGEREF _Toc230353296 \h</w:instrText>
            </w:r>
            <w:r>
              <w:rPr>
                <w:rFonts w:hint="eastAsia"/>
              </w:rPr>
              <w:instrText xml:space="preserve"> </w:instrText>
            </w:r>
            <w:r>
              <w:rPr>
                <w:rFonts w:hint="eastAsia"/>
              </w:rPr>
            </w:r>
            <w:r>
              <w:rPr>
                <w:rFonts w:hint="eastAsia"/>
              </w:rPr>
              <w:fldChar w:fldCharType="separate"/>
            </w:r>
            <w:r>
              <w:t>11</w:t>
            </w:r>
            <w:r>
              <w:rPr>
                <w:rFonts w:hint="eastAsia"/>
              </w:rPr>
              <w:fldChar w:fldCharType="end"/>
            </w:r>
          </w:hyperlink>
        </w:p>
        <w:p w14:paraId="54F08CAE" w14:textId="77777777" w:rsidR="00CD47A0" w:rsidRDefault="00CD47A0">
          <w:pPr>
            <w:pStyle w:val="TOC1"/>
            <w:tabs>
              <w:tab w:val="right" w:leader="dot" w:pos="8296"/>
            </w:tabs>
            <w:ind w:firstLine="420"/>
            <w:rPr>
              <w:sz w:val="22"/>
              <w14:ligatures w14:val="standardContextual"/>
            </w:rPr>
          </w:pPr>
          <w:hyperlink w:anchor="_Toc230353297" w:history="1">
            <w:r>
              <w:rPr>
                <w:rStyle w:val="af3"/>
                <w:rFonts w:ascii="黑体" w:eastAsia="黑体" w:hAnsi="黑体" w:cs="黑体"/>
                <w:b/>
                <w:bCs/>
              </w:rPr>
              <w:t>7.9 质量检查与评价</w:t>
            </w:r>
            <w:r>
              <w:rPr>
                <w:rFonts w:hint="eastAsia"/>
              </w:rPr>
              <w:tab/>
            </w:r>
            <w:r>
              <w:rPr>
                <w:rFonts w:hint="eastAsia"/>
              </w:rPr>
              <w:fldChar w:fldCharType="begin"/>
            </w:r>
            <w:r>
              <w:rPr>
                <w:rFonts w:hint="eastAsia"/>
              </w:rPr>
              <w:instrText xml:space="preserve"> </w:instrText>
            </w:r>
            <w:r>
              <w:instrText>PAGEREF _Toc230353297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2B51D710" w14:textId="77777777" w:rsidR="00CD47A0" w:rsidRDefault="00CD47A0">
          <w:pPr>
            <w:pStyle w:val="TOC1"/>
            <w:tabs>
              <w:tab w:val="right" w:leader="dot" w:pos="8296"/>
            </w:tabs>
            <w:ind w:firstLine="420"/>
            <w:rPr>
              <w:sz w:val="22"/>
              <w14:ligatures w14:val="standardContextual"/>
            </w:rPr>
          </w:pPr>
          <w:hyperlink w:anchor="_Toc230353298" w:history="1">
            <w:r>
              <w:rPr>
                <w:rStyle w:val="af3"/>
                <w:rFonts w:ascii="黑体" w:eastAsia="黑体" w:hAnsi="黑体" w:cs="黑体"/>
                <w:b/>
                <w:bCs/>
              </w:rPr>
              <w:t>8 野外资料验收</w:t>
            </w:r>
            <w:r>
              <w:rPr>
                <w:rFonts w:hint="eastAsia"/>
              </w:rPr>
              <w:tab/>
            </w:r>
            <w:r>
              <w:rPr>
                <w:rFonts w:hint="eastAsia"/>
              </w:rPr>
              <w:fldChar w:fldCharType="begin"/>
            </w:r>
            <w:r>
              <w:rPr>
                <w:rFonts w:hint="eastAsia"/>
              </w:rPr>
              <w:instrText xml:space="preserve"> </w:instrText>
            </w:r>
            <w:r>
              <w:instrText>PAGEREF _Toc230353298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7DB45135" w14:textId="77777777" w:rsidR="00CD47A0" w:rsidRDefault="00CD47A0">
          <w:pPr>
            <w:pStyle w:val="TOC1"/>
            <w:tabs>
              <w:tab w:val="right" w:leader="dot" w:pos="8296"/>
            </w:tabs>
            <w:ind w:firstLine="420"/>
            <w:rPr>
              <w:sz w:val="22"/>
              <w14:ligatures w14:val="standardContextual"/>
            </w:rPr>
          </w:pPr>
          <w:hyperlink w:anchor="_Toc230353299" w:history="1">
            <w:r>
              <w:rPr>
                <w:rStyle w:val="af3"/>
                <w:rFonts w:ascii="黑体" w:eastAsia="黑体" w:hAnsi="黑体" w:cs="黑体"/>
                <w:b/>
                <w:bCs/>
              </w:rPr>
              <w:t>8.1 野外作业离场条件</w:t>
            </w:r>
            <w:r>
              <w:rPr>
                <w:rFonts w:hint="eastAsia"/>
              </w:rPr>
              <w:tab/>
            </w:r>
            <w:r>
              <w:rPr>
                <w:rFonts w:hint="eastAsia"/>
              </w:rPr>
              <w:fldChar w:fldCharType="begin"/>
            </w:r>
            <w:r>
              <w:rPr>
                <w:rFonts w:hint="eastAsia"/>
              </w:rPr>
              <w:instrText xml:space="preserve"> </w:instrText>
            </w:r>
            <w:r>
              <w:instrText>PAGEREF _Toc230353299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099C5AA3" w14:textId="77777777" w:rsidR="00CD47A0" w:rsidRDefault="00CD47A0">
          <w:pPr>
            <w:pStyle w:val="TOC1"/>
            <w:tabs>
              <w:tab w:val="right" w:leader="dot" w:pos="8296"/>
            </w:tabs>
            <w:ind w:firstLine="420"/>
            <w:rPr>
              <w:sz w:val="22"/>
              <w14:ligatures w14:val="standardContextual"/>
            </w:rPr>
          </w:pPr>
          <w:hyperlink w:anchor="_Toc230353300" w:history="1">
            <w:r>
              <w:rPr>
                <w:rStyle w:val="af3"/>
                <w:rFonts w:ascii="黑体" w:eastAsia="黑体" w:hAnsi="黑体" w:cs="黑体"/>
                <w:b/>
                <w:bCs/>
              </w:rPr>
              <w:t>8.2 验收时提交如下野外资料</w:t>
            </w:r>
            <w:r>
              <w:rPr>
                <w:rFonts w:hint="eastAsia"/>
              </w:rPr>
              <w:tab/>
            </w:r>
            <w:r>
              <w:rPr>
                <w:rFonts w:hint="eastAsia"/>
              </w:rPr>
              <w:fldChar w:fldCharType="begin"/>
            </w:r>
            <w:r>
              <w:rPr>
                <w:rFonts w:hint="eastAsia"/>
              </w:rPr>
              <w:instrText xml:space="preserve"> </w:instrText>
            </w:r>
            <w:r>
              <w:instrText>PAGEREF _Toc230353300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4E4DE6C5" w14:textId="77777777" w:rsidR="00CD47A0" w:rsidRDefault="00CD47A0">
          <w:pPr>
            <w:pStyle w:val="TOC1"/>
            <w:tabs>
              <w:tab w:val="right" w:leader="dot" w:pos="8296"/>
            </w:tabs>
            <w:ind w:firstLine="420"/>
            <w:rPr>
              <w:sz w:val="22"/>
              <w14:ligatures w14:val="standardContextual"/>
            </w:rPr>
          </w:pPr>
          <w:hyperlink w:anchor="_Toc230353301" w:history="1">
            <w:r>
              <w:rPr>
                <w:rStyle w:val="af3"/>
                <w:rFonts w:ascii="黑体" w:eastAsia="黑体" w:hAnsi="黑体" w:cs="黑体"/>
                <w:b/>
                <w:bCs/>
              </w:rPr>
              <w:t>9 资料处理与解释</w:t>
            </w:r>
            <w:r>
              <w:rPr>
                <w:rFonts w:hint="eastAsia"/>
              </w:rPr>
              <w:tab/>
            </w:r>
            <w:r>
              <w:rPr>
                <w:rFonts w:hint="eastAsia"/>
              </w:rPr>
              <w:fldChar w:fldCharType="begin"/>
            </w:r>
            <w:r>
              <w:rPr>
                <w:rFonts w:hint="eastAsia"/>
              </w:rPr>
              <w:instrText xml:space="preserve"> </w:instrText>
            </w:r>
            <w:r>
              <w:instrText>PAGEREF _Toc230353301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1D9AFF51" w14:textId="77777777" w:rsidR="00CD47A0" w:rsidRDefault="00CD47A0">
          <w:pPr>
            <w:pStyle w:val="TOC1"/>
            <w:tabs>
              <w:tab w:val="right" w:leader="dot" w:pos="8296"/>
            </w:tabs>
            <w:ind w:firstLine="420"/>
            <w:rPr>
              <w:sz w:val="22"/>
              <w14:ligatures w14:val="standardContextual"/>
            </w:rPr>
          </w:pPr>
          <w:hyperlink w:anchor="_Toc230353302" w:history="1">
            <w:r>
              <w:rPr>
                <w:rStyle w:val="af3"/>
                <w:rFonts w:ascii="黑体" w:eastAsia="黑体" w:hAnsi="黑体" w:cs="黑体"/>
                <w:b/>
                <w:bCs/>
              </w:rPr>
              <w:t>9.1 资料处理</w:t>
            </w:r>
            <w:r>
              <w:rPr>
                <w:rFonts w:hint="eastAsia"/>
              </w:rPr>
              <w:tab/>
            </w:r>
            <w:r>
              <w:rPr>
                <w:rFonts w:hint="eastAsia"/>
              </w:rPr>
              <w:fldChar w:fldCharType="begin"/>
            </w:r>
            <w:r>
              <w:rPr>
                <w:rFonts w:hint="eastAsia"/>
              </w:rPr>
              <w:instrText xml:space="preserve"> </w:instrText>
            </w:r>
            <w:r>
              <w:instrText>PAGEREF _Toc230353302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5E41818B" w14:textId="77777777" w:rsidR="00CD47A0" w:rsidRDefault="00CD47A0">
          <w:pPr>
            <w:pStyle w:val="TOC1"/>
            <w:tabs>
              <w:tab w:val="right" w:leader="dot" w:pos="8296"/>
            </w:tabs>
            <w:ind w:firstLine="420"/>
            <w:rPr>
              <w:sz w:val="22"/>
              <w14:ligatures w14:val="standardContextual"/>
            </w:rPr>
          </w:pPr>
          <w:hyperlink w:anchor="_Toc230353303" w:history="1">
            <w:r>
              <w:rPr>
                <w:rStyle w:val="af3"/>
                <w:rFonts w:ascii="黑体" w:eastAsia="黑体" w:hAnsi="黑体" w:cs="黑体"/>
                <w:b/>
                <w:bCs/>
              </w:rPr>
              <w:t>9.2 资料解释</w:t>
            </w:r>
            <w:r>
              <w:rPr>
                <w:rFonts w:hint="eastAsia"/>
              </w:rPr>
              <w:tab/>
            </w:r>
            <w:r>
              <w:rPr>
                <w:rFonts w:hint="eastAsia"/>
              </w:rPr>
              <w:fldChar w:fldCharType="begin"/>
            </w:r>
            <w:r>
              <w:rPr>
                <w:rFonts w:hint="eastAsia"/>
              </w:rPr>
              <w:instrText xml:space="preserve"> </w:instrText>
            </w:r>
            <w:r>
              <w:instrText>PAGEREF _Toc230353303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12139767" w14:textId="77777777" w:rsidR="00CD47A0" w:rsidRDefault="00CD47A0">
          <w:pPr>
            <w:pStyle w:val="TOC1"/>
            <w:tabs>
              <w:tab w:val="right" w:leader="dot" w:pos="8296"/>
            </w:tabs>
            <w:ind w:firstLine="420"/>
            <w:rPr>
              <w:sz w:val="22"/>
              <w14:ligatures w14:val="standardContextual"/>
            </w:rPr>
          </w:pPr>
          <w:hyperlink w:anchor="_Toc230353304" w:history="1">
            <w:r>
              <w:rPr>
                <w:rStyle w:val="af3"/>
                <w:rFonts w:ascii="黑体" w:eastAsia="黑体" w:hAnsi="黑体" w:cs="黑体"/>
                <w:b/>
                <w:bCs/>
              </w:rPr>
              <w:t>9.3 图件编绘</w:t>
            </w:r>
            <w:r>
              <w:rPr>
                <w:rFonts w:hint="eastAsia"/>
              </w:rPr>
              <w:tab/>
            </w:r>
            <w:r>
              <w:rPr>
                <w:rFonts w:hint="eastAsia"/>
              </w:rPr>
              <w:fldChar w:fldCharType="begin"/>
            </w:r>
            <w:r>
              <w:rPr>
                <w:rFonts w:hint="eastAsia"/>
              </w:rPr>
              <w:instrText xml:space="preserve"> </w:instrText>
            </w:r>
            <w:r>
              <w:instrText>PAGEREF _Toc230353304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14:paraId="14A3FF18" w14:textId="77777777" w:rsidR="00CD47A0" w:rsidRDefault="00CD47A0">
          <w:pPr>
            <w:pStyle w:val="TOC1"/>
            <w:tabs>
              <w:tab w:val="right" w:leader="dot" w:pos="8296"/>
            </w:tabs>
            <w:ind w:firstLine="420"/>
            <w:rPr>
              <w:sz w:val="22"/>
              <w14:ligatures w14:val="standardContextual"/>
            </w:rPr>
          </w:pPr>
          <w:hyperlink w:anchor="_Toc230353305" w:history="1">
            <w:r>
              <w:rPr>
                <w:rStyle w:val="af3"/>
                <w:rFonts w:ascii="黑体" w:eastAsia="黑体" w:hAnsi="黑体" w:cs="黑体"/>
                <w:b/>
                <w:bCs/>
              </w:rPr>
              <w:t>10 成果报告编写</w:t>
            </w:r>
            <w:r>
              <w:rPr>
                <w:rFonts w:hint="eastAsia"/>
              </w:rPr>
              <w:tab/>
            </w:r>
            <w:r>
              <w:rPr>
                <w:rFonts w:hint="eastAsia"/>
              </w:rPr>
              <w:fldChar w:fldCharType="begin"/>
            </w:r>
            <w:r>
              <w:rPr>
                <w:rFonts w:hint="eastAsia"/>
              </w:rPr>
              <w:instrText xml:space="preserve"> </w:instrText>
            </w:r>
            <w:r>
              <w:instrText>PAGEREF _Toc230353305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727E09CB" w14:textId="77777777" w:rsidR="00CD47A0" w:rsidRDefault="00CD47A0">
          <w:pPr>
            <w:pStyle w:val="TOC1"/>
            <w:tabs>
              <w:tab w:val="right" w:leader="dot" w:pos="8296"/>
            </w:tabs>
            <w:ind w:firstLine="420"/>
            <w:rPr>
              <w:sz w:val="22"/>
              <w14:ligatures w14:val="standardContextual"/>
            </w:rPr>
          </w:pPr>
          <w:hyperlink w:anchor="_Toc230353306" w:history="1">
            <w:r>
              <w:rPr>
                <w:rStyle w:val="af3"/>
                <w:rFonts w:ascii="黑体" w:eastAsia="黑体" w:hAnsi="黑体" w:cs="黑体"/>
                <w:b/>
                <w:bCs/>
              </w:rPr>
              <w:t>10.1 成果报告编写的基本要求</w:t>
            </w:r>
            <w:r>
              <w:rPr>
                <w:rFonts w:hint="eastAsia"/>
              </w:rPr>
              <w:tab/>
            </w:r>
            <w:r>
              <w:rPr>
                <w:rFonts w:hint="eastAsia"/>
              </w:rPr>
              <w:fldChar w:fldCharType="begin"/>
            </w:r>
            <w:r>
              <w:rPr>
                <w:rFonts w:hint="eastAsia"/>
              </w:rPr>
              <w:instrText xml:space="preserve"> </w:instrText>
            </w:r>
            <w:r>
              <w:instrText>PAGEREF _Toc230353306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684A94EC" w14:textId="77777777" w:rsidR="00CD47A0" w:rsidRDefault="00CD47A0">
          <w:pPr>
            <w:pStyle w:val="TOC1"/>
            <w:tabs>
              <w:tab w:val="right" w:leader="dot" w:pos="8296"/>
            </w:tabs>
            <w:ind w:firstLine="420"/>
            <w:rPr>
              <w:sz w:val="22"/>
              <w14:ligatures w14:val="standardContextual"/>
            </w:rPr>
          </w:pPr>
          <w:hyperlink w:anchor="_Toc230353307" w:history="1">
            <w:r>
              <w:rPr>
                <w:rStyle w:val="af3"/>
                <w:rFonts w:ascii="黑体" w:eastAsia="黑体" w:hAnsi="黑体" w:cs="黑体"/>
                <w:b/>
                <w:bCs/>
              </w:rPr>
              <w:t>10.2 成果报告内容</w:t>
            </w:r>
            <w:r>
              <w:rPr>
                <w:rFonts w:hint="eastAsia"/>
              </w:rPr>
              <w:tab/>
            </w:r>
            <w:r>
              <w:rPr>
                <w:rFonts w:hint="eastAsia"/>
              </w:rPr>
              <w:fldChar w:fldCharType="begin"/>
            </w:r>
            <w:r>
              <w:rPr>
                <w:rFonts w:hint="eastAsia"/>
              </w:rPr>
              <w:instrText xml:space="preserve"> </w:instrText>
            </w:r>
            <w:r>
              <w:instrText>PAGEREF _Toc230353307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10401C65" w14:textId="77777777" w:rsidR="00CD47A0" w:rsidRDefault="00CD47A0">
          <w:pPr>
            <w:pStyle w:val="TOC1"/>
            <w:tabs>
              <w:tab w:val="right" w:leader="dot" w:pos="8296"/>
            </w:tabs>
            <w:ind w:firstLine="420"/>
            <w:rPr>
              <w:sz w:val="22"/>
              <w14:ligatures w14:val="standardContextual"/>
            </w:rPr>
          </w:pPr>
          <w:hyperlink w:anchor="_Toc230353308" w:history="1">
            <w:r>
              <w:rPr>
                <w:rStyle w:val="af3"/>
                <w:rFonts w:ascii="黑体" w:eastAsia="黑体" w:hAnsi="黑体" w:cs="黑体"/>
                <w:b/>
                <w:bCs/>
              </w:rPr>
              <w:t>11 成果验收</w:t>
            </w:r>
            <w:r>
              <w:rPr>
                <w:rFonts w:hint="eastAsia"/>
              </w:rPr>
              <w:tab/>
            </w:r>
            <w:r>
              <w:rPr>
                <w:rFonts w:hint="eastAsia"/>
              </w:rPr>
              <w:fldChar w:fldCharType="begin"/>
            </w:r>
            <w:r>
              <w:rPr>
                <w:rFonts w:hint="eastAsia"/>
              </w:rPr>
              <w:instrText xml:space="preserve"> </w:instrText>
            </w:r>
            <w:r>
              <w:instrText>PAGEREF _Toc230353308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068E0F6F" w14:textId="77777777" w:rsidR="00CD47A0" w:rsidRDefault="00CD47A0">
          <w:pPr>
            <w:pStyle w:val="TOC1"/>
            <w:tabs>
              <w:tab w:val="right" w:leader="dot" w:pos="8296"/>
            </w:tabs>
            <w:ind w:firstLine="420"/>
            <w:rPr>
              <w:sz w:val="22"/>
              <w14:ligatures w14:val="standardContextual"/>
            </w:rPr>
          </w:pPr>
          <w:hyperlink w:anchor="_Toc230353309" w:history="1">
            <w:r>
              <w:rPr>
                <w:rStyle w:val="af3"/>
                <w:rFonts w:ascii="黑体" w:eastAsia="黑体" w:hAnsi="黑体" w:cs="黑体"/>
                <w:b/>
                <w:bCs/>
              </w:rPr>
              <w:t>11.1 原始资料</w:t>
            </w:r>
            <w:r>
              <w:rPr>
                <w:rFonts w:hint="eastAsia"/>
              </w:rPr>
              <w:tab/>
            </w:r>
            <w:r>
              <w:rPr>
                <w:rFonts w:hint="eastAsia"/>
              </w:rPr>
              <w:fldChar w:fldCharType="begin"/>
            </w:r>
            <w:r>
              <w:rPr>
                <w:rFonts w:hint="eastAsia"/>
              </w:rPr>
              <w:instrText xml:space="preserve"> </w:instrText>
            </w:r>
            <w:r>
              <w:instrText>PAGEREF _Toc230353309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12F2C668" w14:textId="77777777" w:rsidR="00CD47A0" w:rsidRDefault="00CD47A0">
          <w:pPr>
            <w:pStyle w:val="TOC1"/>
            <w:tabs>
              <w:tab w:val="right" w:leader="dot" w:pos="8296"/>
            </w:tabs>
            <w:ind w:firstLine="420"/>
            <w:rPr>
              <w:sz w:val="22"/>
              <w14:ligatures w14:val="standardContextual"/>
            </w:rPr>
          </w:pPr>
          <w:hyperlink w:anchor="_Toc230353310" w:history="1">
            <w:r>
              <w:rPr>
                <w:rStyle w:val="af3"/>
                <w:rFonts w:ascii="黑体" w:eastAsia="黑体" w:hAnsi="黑体" w:cs="黑体"/>
                <w:b/>
                <w:bCs/>
              </w:rPr>
              <w:t>11.2 预处理资料</w:t>
            </w:r>
            <w:r>
              <w:rPr>
                <w:rFonts w:hint="eastAsia"/>
              </w:rPr>
              <w:tab/>
            </w:r>
            <w:r>
              <w:rPr>
                <w:rFonts w:hint="eastAsia"/>
              </w:rPr>
              <w:fldChar w:fldCharType="begin"/>
            </w:r>
            <w:r>
              <w:rPr>
                <w:rFonts w:hint="eastAsia"/>
              </w:rPr>
              <w:instrText xml:space="preserve"> </w:instrText>
            </w:r>
            <w:r>
              <w:instrText>PAGEREF _Toc230353310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06B23649" w14:textId="77777777" w:rsidR="00CD47A0" w:rsidRDefault="00CD47A0">
          <w:pPr>
            <w:pStyle w:val="TOC1"/>
            <w:tabs>
              <w:tab w:val="right" w:leader="dot" w:pos="8296"/>
            </w:tabs>
            <w:ind w:firstLine="420"/>
            <w:rPr>
              <w:sz w:val="22"/>
              <w14:ligatures w14:val="standardContextual"/>
            </w:rPr>
          </w:pPr>
          <w:hyperlink w:anchor="_Toc230353311" w:history="1">
            <w:r>
              <w:rPr>
                <w:rStyle w:val="af3"/>
                <w:rFonts w:ascii="黑体" w:eastAsia="黑体" w:hAnsi="黑体" w:cs="黑体"/>
                <w:b/>
                <w:bCs/>
              </w:rPr>
              <w:t>11.3 成果报告</w:t>
            </w:r>
            <w:r>
              <w:rPr>
                <w:rFonts w:hint="eastAsia"/>
              </w:rPr>
              <w:tab/>
            </w:r>
            <w:r>
              <w:rPr>
                <w:rFonts w:hint="eastAsia"/>
              </w:rPr>
              <w:fldChar w:fldCharType="begin"/>
            </w:r>
            <w:r>
              <w:rPr>
                <w:rFonts w:hint="eastAsia"/>
              </w:rPr>
              <w:instrText xml:space="preserve"> </w:instrText>
            </w:r>
            <w:r>
              <w:instrText>PAGEREF _Toc230353311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7DD95254" w14:textId="77777777" w:rsidR="00CD47A0" w:rsidRDefault="00CD47A0">
          <w:pPr>
            <w:pStyle w:val="TOC1"/>
            <w:tabs>
              <w:tab w:val="right" w:leader="dot" w:pos="8296"/>
            </w:tabs>
            <w:ind w:firstLine="420"/>
            <w:rPr>
              <w:sz w:val="22"/>
              <w14:ligatures w14:val="standardContextual"/>
            </w:rPr>
          </w:pPr>
          <w:hyperlink w:anchor="_Toc230353312" w:history="1">
            <w:r>
              <w:rPr>
                <w:rStyle w:val="af3"/>
                <w:b/>
              </w:rPr>
              <w:t>附录</w:t>
            </w:r>
            <w:r>
              <w:rPr>
                <w:rStyle w:val="af3"/>
                <w:b/>
              </w:rPr>
              <w:t xml:space="preserve">A  </w:t>
            </w:r>
            <w:r>
              <w:rPr>
                <w:rStyle w:val="af3"/>
                <w:b/>
              </w:rPr>
              <w:t>极低频电磁法接收设备技术指标（资料性）</w:t>
            </w:r>
            <w:r>
              <w:rPr>
                <w:rFonts w:hint="eastAsia"/>
              </w:rPr>
              <w:tab/>
            </w:r>
            <w:r>
              <w:rPr>
                <w:rFonts w:hint="eastAsia"/>
              </w:rPr>
              <w:fldChar w:fldCharType="begin"/>
            </w:r>
            <w:r>
              <w:rPr>
                <w:rFonts w:hint="eastAsia"/>
              </w:rPr>
              <w:instrText xml:space="preserve"> </w:instrText>
            </w:r>
            <w:r>
              <w:instrText>PAGEREF _Toc230353312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14:paraId="1538491E" w14:textId="77777777" w:rsidR="00CD47A0" w:rsidRDefault="00000000">
          <w:pPr>
            <w:ind w:firstLine="422"/>
          </w:pPr>
          <w:r>
            <w:rPr>
              <w:b/>
              <w:bCs/>
              <w:lang w:val="zh-CN"/>
            </w:rPr>
            <w:fldChar w:fldCharType="end"/>
          </w:r>
        </w:p>
      </w:sdtContent>
    </w:sdt>
    <w:p w14:paraId="2B59CD41" w14:textId="77777777" w:rsidR="00CD47A0" w:rsidRDefault="00CD47A0">
      <w:pPr>
        <w:pStyle w:val="af5"/>
        <w:rPr>
          <w:highlight w:val="green"/>
        </w:rPr>
        <w:sectPr w:rsidR="00CD47A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p>
    <w:p w14:paraId="2F2409C9" w14:textId="77777777" w:rsidR="00CD47A0" w:rsidRDefault="00000000">
      <w:pPr>
        <w:pStyle w:val="a"/>
        <w:spacing w:before="180" w:afterLines="100" w:after="312" w:line="360" w:lineRule="auto"/>
      </w:pPr>
      <w:bookmarkStart w:id="1" w:name="_Toc230353269"/>
      <w:bookmarkStart w:id="2" w:name="BookMark2"/>
      <w:bookmarkStart w:id="3" w:name="_Toc27177"/>
      <w:bookmarkEnd w:id="0"/>
      <w:r>
        <w:rPr>
          <w:spacing w:val="320"/>
        </w:rPr>
        <w:lastRenderedPageBreak/>
        <w:t>前</w:t>
      </w:r>
      <w:r>
        <w:t>言</w:t>
      </w:r>
      <w:bookmarkEnd w:id="1"/>
    </w:p>
    <w:p w14:paraId="14982F53" w14:textId="77777777" w:rsidR="00CD47A0" w:rsidRDefault="00000000">
      <w:pPr>
        <w:pStyle w:val="af9"/>
        <w:spacing w:line="360" w:lineRule="auto"/>
        <w:ind w:firstLine="480"/>
        <w:rPr>
          <w:sz w:val="24"/>
          <w:szCs w:val="24"/>
        </w:rPr>
      </w:pPr>
      <w:r>
        <w:rPr>
          <w:rFonts w:hint="eastAsia"/>
          <w:sz w:val="24"/>
          <w:szCs w:val="24"/>
        </w:rPr>
        <w:t>本文件按照GB/T 1.1—2020《</w:t>
      </w:r>
      <w:proofErr w:type="gramStart"/>
      <w:r>
        <w:rPr>
          <w:rFonts w:hint="eastAsia"/>
          <w:sz w:val="24"/>
          <w:szCs w:val="24"/>
        </w:rPr>
        <w:t>标准化工作导则  第</w:t>
      </w:r>
      <w:proofErr w:type="gramEnd"/>
      <w:r>
        <w:rPr>
          <w:rFonts w:hint="eastAsia"/>
          <w:sz w:val="24"/>
          <w:szCs w:val="24"/>
        </w:rPr>
        <w:t>1部分：标准化文件的结构和起草规则》的规定起草。</w:t>
      </w:r>
    </w:p>
    <w:p w14:paraId="2D5C4BA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请注意本文件的某些内容可能涉及专利。本文件的发布机构不承担识别这些专利的责任。</w:t>
      </w:r>
    </w:p>
    <w:p w14:paraId="48D04BD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本文件由中国地球物理学会提出。</w:t>
      </w:r>
    </w:p>
    <w:p w14:paraId="79F9898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本文件由中国地球物理学会归口。</w:t>
      </w:r>
    </w:p>
    <w:p w14:paraId="751F1DB8" w14:textId="3A4166C0" w:rsidR="00CD47A0" w:rsidRDefault="00000000">
      <w:pPr>
        <w:pStyle w:val="af5"/>
        <w:ind w:firstLine="480"/>
        <w:rPr>
          <w:rStyle w:val="CharChar"/>
          <w:rFonts w:hint="default"/>
          <w:color w:val="000000"/>
          <w:sz w:val="24"/>
          <w:szCs w:val="24"/>
        </w:rPr>
      </w:pPr>
      <w:r>
        <w:rPr>
          <w:rStyle w:val="CharChar"/>
          <w:rFonts w:hint="default"/>
          <w:color w:val="000000"/>
          <w:sz w:val="24"/>
          <w:szCs w:val="24"/>
        </w:rPr>
        <w:t>本文件起草单位：</w:t>
      </w:r>
      <w:r w:rsidR="00965057">
        <w:rPr>
          <w:rStyle w:val="CharChar"/>
          <w:rFonts w:hint="default"/>
          <w:color w:val="000000"/>
          <w:sz w:val="24"/>
          <w:szCs w:val="24"/>
        </w:rPr>
        <w:t>***</w:t>
      </w:r>
      <w:r>
        <w:rPr>
          <w:rStyle w:val="CharChar"/>
          <w:rFonts w:hint="default"/>
          <w:color w:val="000000"/>
          <w:sz w:val="24"/>
          <w:szCs w:val="24"/>
        </w:rPr>
        <w:t>。</w:t>
      </w:r>
    </w:p>
    <w:p w14:paraId="45C415E7" w14:textId="504340CD" w:rsidR="00CD47A0" w:rsidRDefault="00000000">
      <w:pPr>
        <w:pStyle w:val="af5"/>
        <w:ind w:firstLine="480"/>
        <w:rPr>
          <w:rStyle w:val="CharChar"/>
          <w:rFonts w:hint="default"/>
          <w:color w:val="000000"/>
          <w:sz w:val="24"/>
          <w:szCs w:val="24"/>
        </w:rPr>
      </w:pPr>
      <w:r>
        <w:rPr>
          <w:rStyle w:val="CharChar"/>
          <w:rFonts w:hint="default"/>
          <w:color w:val="000000"/>
          <w:sz w:val="24"/>
          <w:szCs w:val="24"/>
        </w:rPr>
        <w:t>本文件主要起草人：</w:t>
      </w:r>
      <w:r w:rsidR="009D2F12">
        <w:rPr>
          <w:rStyle w:val="CharChar"/>
          <w:rFonts w:hint="default"/>
          <w:color w:val="000000"/>
          <w:sz w:val="24"/>
          <w:szCs w:val="24"/>
        </w:rPr>
        <w:t>******</w:t>
      </w:r>
      <w:r>
        <w:rPr>
          <w:rStyle w:val="CharChar"/>
          <w:rFonts w:hint="default"/>
          <w:color w:val="000000"/>
          <w:sz w:val="24"/>
          <w:szCs w:val="24"/>
        </w:rPr>
        <w:t>。</w:t>
      </w:r>
    </w:p>
    <w:p w14:paraId="0E8914B7" w14:textId="77777777" w:rsidR="00CD47A0" w:rsidRDefault="00000000">
      <w:pPr>
        <w:pStyle w:val="af5"/>
      </w:pPr>
      <w:r>
        <w:rPr>
          <w:rFonts w:hint="eastAsia"/>
        </w:rPr>
        <w:t>本文件为首次发布</w:t>
      </w:r>
      <w:r>
        <w:rPr>
          <w:rFonts w:hint="eastAsia"/>
          <w:color w:val="000000"/>
        </w:rPr>
        <w:t>。</w:t>
      </w:r>
    </w:p>
    <w:p w14:paraId="3BEC6322" w14:textId="77777777" w:rsidR="00CD47A0" w:rsidRDefault="00CD47A0">
      <w:pPr>
        <w:pStyle w:val="af5"/>
        <w:rPr>
          <w:rStyle w:val="CharChar"/>
          <w:rFonts w:hint="default"/>
          <w:color w:val="000000"/>
        </w:rPr>
        <w:sectPr w:rsidR="00CD47A0">
          <w:pgSz w:w="11906" w:h="16838"/>
          <w:pgMar w:top="1440" w:right="1800" w:bottom="1118" w:left="1800" w:header="851" w:footer="992" w:gutter="0"/>
          <w:pgNumType w:start="1"/>
          <w:cols w:space="425"/>
          <w:docGrid w:type="lines" w:linePitch="312"/>
        </w:sectPr>
      </w:pPr>
    </w:p>
    <w:bookmarkEnd w:id="2"/>
    <w:p w14:paraId="76A3E118" w14:textId="77777777" w:rsidR="00CD47A0" w:rsidRDefault="00000000">
      <w:pPr>
        <w:pStyle w:val="a0"/>
        <w:numPr>
          <w:ilvl w:val="0"/>
          <w:numId w:val="0"/>
        </w:numPr>
        <w:adjustRightInd w:val="0"/>
        <w:snapToGrid w:val="0"/>
        <w:spacing w:before="312" w:after="312" w:line="360" w:lineRule="auto"/>
        <w:jc w:val="center"/>
        <w:outlineLvl w:val="9"/>
        <w:rPr>
          <w:rFonts w:cs="黑体" w:hint="eastAsia"/>
          <w:b/>
          <w:bCs/>
          <w:sz w:val="44"/>
          <w:szCs w:val="44"/>
        </w:rPr>
      </w:pPr>
      <w:r>
        <w:rPr>
          <w:rFonts w:cs="黑体" w:hint="eastAsia"/>
          <w:b/>
          <w:bCs/>
          <w:sz w:val="44"/>
          <w:szCs w:val="44"/>
        </w:rPr>
        <w:lastRenderedPageBreak/>
        <w:t>地面电磁探测系统（SEP）探测技术规程</w:t>
      </w:r>
    </w:p>
    <w:p w14:paraId="07FF5C72" w14:textId="77777777" w:rsidR="00CD47A0" w:rsidRDefault="00000000">
      <w:pPr>
        <w:adjustRightInd w:val="0"/>
        <w:snapToGrid w:val="0"/>
        <w:spacing w:line="360" w:lineRule="auto"/>
        <w:ind w:firstLineChars="0" w:firstLine="0"/>
        <w:outlineLvl w:val="0"/>
        <w:rPr>
          <w:rFonts w:ascii="黑体" w:eastAsia="黑体" w:hAnsi="黑体" w:cs="黑体" w:hint="eastAsia"/>
          <w:b/>
          <w:bCs/>
          <w:szCs w:val="21"/>
        </w:rPr>
      </w:pPr>
      <w:bookmarkStart w:id="4" w:name="_Toc230353270"/>
      <w:proofErr w:type="gramStart"/>
      <w:r>
        <w:rPr>
          <w:rFonts w:ascii="黑体" w:eastAsia="黑体" w:hAnsi="黑体" w:cs="黑体" w:hint="eastAsia"/>
          <w:b/>
          <w:bCs/>
          <w:szCs w:val="21"/>
        </w:rPr>
        <w:t>1  范围</w:t>
      </w:r>
      <w:bookmarkEnd w:id="3"/>
      <w:bookmarkEnd w:id="4"/>
      <w:proofErr w:type="gramEnd"/>
    </w:p>
    <w:p w14:paraId="6A8A254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本文件规定了地面电磁探测系统（SEP）的系统组成、一般技术要求、使用与维护、野外施工、野外资料验收、资料处理与解释、成果报告编写及成果验收要求。</w:t>
      </w:r>
    </w:p>
    <w:p w14:paraId="50C5FB66" w14:textId="77777777" w:rsidR="00CD47A0" w:rsidRDefault="00000000">
      <w:pPr>
        <w:spacing w:line="360" w:lineRule="auto"/>
        <w:ind w:firstLine="480"/>
        <w:rPr>
          <w:color w:val="000000"/>
          <w:sz w:val="24"/>
        </w:rPr>
      </w:pPr>
      <w:r>
        <w:rPr>
          <w:rStyle w:val="CharChar"/>
          <w:rFonts w:hint="default"/>
          <w:color w:val="000000"/>
          <w:sz w:val="24"/>
        </w:rPr>
        <w:t>本文件适用于采用地面电磁探测系统（SEP）开展地球物理勘查的技术设计、数据采集、资料处理与解释及成果验收。涉及具体电磁方法时，还应符合相应的国家标准、行业标准或团体标准。</w:t>
      </w:r>
    </w:p>
    <w:p w14:paraId="564A5EA1" w14:textId="77777777" w:rsidR="00CD47A0" w:rsidRDefault="00CD47A0">
      <w:pPr>
        <w:pStyle w:val="af5"/>
        <w:rPr>
          <w:rStyle w:val="CharChar"/>
          <w:rFonts w:hint="default"/>
          <w:color w:val="000000"/>
        </w:rPr>
      </w:pPr>
    </w:p>
    <w:p w14:paraId="7E1D39E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5" w:name="_Toc230353271"/>
      <w:bookmarkStart w:id="6" w:name="_Toc10898"/>
      <w:proofErr w:type="gramStart"/>
      <w:r>
        <w:rPr>
          <w:rFonts w:ascii="黑体" w:eastAsia="黑体" w:hAnsi="黑体" w:cs="黑体" w:hint="eastAsia"/>
          <w:b/>
          <w:bCs/>
          <w:sz w:val="24"/>
        </w:rPr>
        <w:t>2  规范性引用文件</w:t>
      </w:r>
      <w:bookmarkEnd w:id="5"/>
      <w:bookmarkEnd w:id="6"/>
      <w:proofErr w:type="gramEnd"/>
    </w:p>
    <w:p w14:paraId="42423C1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下列文件对于本文件的应用是必不可少的。凡是注日期的引用文件，仅所注日期的版本适用于本文件。凡是不注日期的引用文件，其最新版本（包括所有的修改单）适用于本文件。</w:t>
      </w:r>
    </w:p>
    <w:p w14:paraId="0207FF9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GB/T 14499-</w:t>
      </w:r>
      <w:proofErr w:type="gramStart"/>
      <w:r>
        <w:rPr>
          <w:rStyle w:val="CharChar"/>
          <w:rFonts w:hint="default"/>
          <w:color w:val="000000"/>
          <w:sz w:val="24"/>
          <w:szCs w:val="24"/>
        </w:rPr>
        <w:t>1993  地球物理勘查技术符号</w:t>
      </w:r>
      <w:proofErr w:type="gramEnd"/>
    </w:p>
    <w:p w14:paraId="07E6324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GB/T 18314</w:t>
      </w:r>
      <w:r>
        <w:rPr>
          <w:rStyle w:val="CharChar"/>
          <w:rFonts w:hint="default"/>
          <w:color w:val="000000"/>
          <w:sz w:val="24"/>
          <w:szCs w:val="24"/>
        </w:rPr>
        <w:t>—</w:t>
      </w:r>
      <w:proofErr w:type="gramStart"/>
      <w:r>
        <w:rPr>
          <w:rStyle w:val="CharChar"/>
          <w:rFonts w:hint="default"/>
          <w:color w:val="000000"/>
          <w:sz w:val="24"/>
          <w:szCs w:val="24"/>
        </w:rPr>
        <w:t>2024  全球导航卫星系统</w:t>
      </w:r>
      <w:proofErr w:type="gramEnd"/>
      <w:r>
        <w:rPr>
          <w:rStyle w:val="CharChar"/>
          <w:rFonts w:hint="default"/>
          <w:color w:val="000000"/>
          <w:sz w:val="24"/>
          <w:szCs w:val="24"/>
        </w:rPr>
        <w:t>（GNSS）测量规范</w:t>
      </w:r>
    </w:p>
    <w:p w14:paraId="2522CA0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DZ/T 0069</w:t>
      </w:r>
      <w:r>
        <w:rPr>
          <w:rStyle w:val="CharChar"/>
          <w:rFonts w:hint="default"/>
          <w:color w:val="000000"/>
          <w:sz w:val="24"/>
          <w:szCs w:val="24"/>
        </w:rPr>
        <w:t>—</w:t>
      </w:r>
      <w:proofErr w:type="gramStart"/>
      <w:r>
        <w:rPr>
          <w:rStyle w:val="CharChar"/>
          <w:rFonts w:hint="default"/>
          <w:color w:val="000000"/>
          <w:sz w:val="24"/>
          <w:szCs w:val="24"/>
        </w:rPr>
        <w:t>2024  地球物理勘查图图式图例及色标</w:t>
      </w:r>
      <w:proofErr w:type="gramEnd"/>
    </w:p>
    <w:p w14:paraId="42AC191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DZ/T 0153-</w:t>
      </w:r>
      <w:proofErr w:type="gramStart"/>
      <w:r>
        <w:rPr>
          <w:rStyle w:val="CharChar"/>
          <w:rFonts w:hint="default"/>
          <w:color w:val="000000"/>
          <w:sz w:val="24"/>
          <w:szCs w:val="24"/>
        </w:rPr>
        <w:t>1995  物化探工程测量规范</w:t>
      </w:r>
      <w:proofErr w:type="gramEnd"/>
    </w:p>
    <w:p w14:paraId="5F4A58C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DZ/T 0187-</w:t>
      </w:r>
      <w:proofErr w:type="gramStart"/>
      <w:r>
        <w:rPr>
          <w:rStyle w:val="CharChar"/>
          <w:rFonts w:hint="default"/>
          <w:color w:val="000000"/>
          <w:sz w:val="24"/>
          <w:szCs w:val="24"/>
        </w:rPr>
        <w:t>1997  大地电磁法技术规程</w:t>
      </w:r>
      <w:proofErr w:type="gramEnd"/>
    </w:p>
    <w:p w14:paraId="423DE53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DZ/T 0280-</w:t>
      </w:r>
      <w:proofErr w:type="gramStart"/>
      <w:r>
        <w:rPr>
          <w:rStyle w:val="CharChar"/>
          <w:rFonts w:hint="default"/>
          <w:color w:val="000000"/>
          <w:sz w:val="24"/>
          <w:szCs w:val="24"/>
        </w:rPr>
        <w:t>2015  可控源大地电磁法技术规程</w:t>
      </w:r>
      <w:proofErr w:type="gramEnd"/>
    </w:p>
    <w:p w14:paraId="5B8EB3D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SY/T 6589-</w:t>
      </w:r>
      <w:proofErr w:type="gramStart"/>
      <w:r>
        <w:rPr>
          <w:rStyle w:val="CharChar"/>
          <w:rFonts w:hint="default"/>
          <w:color w:val="000000"/>
          <w:sz w:val="24"/>
          <w:szCs w:val="24"/>
        </w:rPr>
        <w:t>2016  陆上可控源电磁法勘探采集技术规程</w:t>
      </w:r>
      <w:proofErr w:type="gramEnd"/>
    </w:p>
    <w:p w14:paraId="0C96F310" w14:textId="77777777" w:rsidR="00CD47A0" w:rsidRDefault="00000000">
      <w:pPr>
        <w:pStyle w:val="1"/>
        <w:widowControl/>
        <w:shd w:val="clear" w:color="auto" w:fill="FFFFFF"/>
        <w:spacing w:beforeAutospacing="0" w:after="216" w:afterAutospacing="0" w:line="360" w:lineRule="atLeast"/>
        <w:ind w:firstLine="480"/>
        <w:rPr>
          <w:rStyle w:val="CharChar"/>
          <w:rFonts w:hint="default"/>
          <w:b w:val="0"/>
          <w:color w:val="000000"/>
          <w:sz w:val="24"/>
          <w:szCs w:val="24"/>
        </w:rPr>
      </w:pPr>
      <w:r>
        <w:rPr>
          <w:rStyle w:val="CharChar"/>
          <w:rFonts w:hint="default"/>
          <w:b w:val="0"/>
          <w:color w:val="000000"/>
          <w:sz w:val="24"/>
          <w:szCs w:val="24"/>
        </w:rPr>
        <w:t>T/CGS 001</w:t>
      </w:r>
      <w:r>
        <w:rPr>
          <w:rStyle w:val="CharChar"/>
          <w:rFonts w:hint="default"/>
          <w:b w:val="0"/>
          <w:color w:val="000000"/>
          <w:sz w:val="24"/>
          <w:szCs w:val="24"/>
        </w:rPr>
        <w:t>—</w:t>
      </w:r>
      <w:proofErr w:type="gramStart"/>
      <w:r>
        <w:rPr>
          <w:rStyle w:val="CharChar"/>
          <w:rFonts w:hint="default"/>
          <w:b w:val="0"/>
          <w:color w:val="000000"/>
          <w:sz w:val="24"/>
          <w:szCs w:val="24"/>
        </w:rPr>
        <w:t>2021  固定源极低频电磁法勘查技术规程</w:t>
      </w:r>
      <w:proofErr w:type="gramEnd"/>
    </w:p>
    <w:p w14:paraId="15F7751F" w14:textId="77777777" w:rsidR="00CD47A0" w:rsidRDefault="00CD47A0">
      <w:pPr>
        <w:pStyle w:val="af5"/>
        <w:ind w:firstLine="480"/>
        <w:rPr>
          <w:rStyle w:val="CharChar"/>
          <w:rFonts w:hint="default"/>
          <w:color w:val="000000"/>
          <w:sz w:val="24"/>
          <w:szCs w:val="24"/>
          <w:highlight w:val="green"/>
        </w:rPr>
      </w:pPr>
    </w:p>
    <w:p w14:paraId="5154E49A"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proofErr w:type="gramStart"/>
      <w:r>
        <w:rPr>
          <w:rFonts w:ascii="黑体" w:eastAsia="黑体" w:hAnsi="黑体" w:cs="黑体" w:hint="eastAsia"/>
          <w:b/>
          <w:bCs/>
          <w:sz w:val="24"/>
        </w:rPr>
        <w:t>3  术语定义和符号</w:t>
      </w:r>
      <w:proofErr w:type="gramEnd"/>
    </w:p>
    <w:p w14:paraId="40D2C69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下列术语和定义适用于本文件。</w:t>
      </w:r>
    </w:p>
    <w:p w14:paraId="71190569"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proofErr w:type="gramStart"/>
      <w:r>
        <w:rPr>
          <w:rFonts w:ascii="黑体" w:eastAsia="黑体" w:hAnsi="黑体" w:cs="黑体" w:hint="eastAsia"/>
          <w:b/>
          <w:bCs/>
          <w:sz w:val="24"/>
        </w:rPr>
        <w:t>3.1  术语和定义</w:t>
      </w:r>
      <w:proofErr w:type="gramEnd"/>
    </w:p>
    <w:p w14:paraId="67F191B1" w14:textId="77777777" w:rsidR="00CD47A0" w:rsidRDefault="00000000">
      <w:pPr>
        <w:pStyle w:val="af5"/>
        <w:ind w:firstLineChars="0" w:firstLine="0"/>
        <w:rPr>
          <w:rStyle w:val="CharChar"/>
          <w:rFonts w:ascii="Times New Roman" w:hAnsi="Times New Roman" w:hint="default"/>
          <w:color w:val="000000"/>
          <w:sz w:val="24"/>
          <w:szCs w:val="24"/>
        </w:rPr>
      </w:pPr>
      <w:proofErr w:type="gramStart"/>
      <w:r>
        <w:rPr>
          <w:rStyle w:val="CharChar"/>
          <w:rFonts w:hint="default"/>
          <w:color w:val="000000"/>
          <w:sz w:val="24"/>
          <w:szCs w:val="24"/>
        </w:rPr>
        <w:t>3.1.1  地面电磁探测系统</w:t>
      </w:r>
      <w:proofErr w:type="gramEnd"/>
      <w:r>
        <w:rPr>
          <w:rStyle w:val="CharChar"/>
          <w:rFonts w:hint="default"/>
          <w:color w:val="000000"/>
          <w:sz w:val="24"/>
          <w:szCs w:val="24"/>
        </w:rPr>
        <w:t>（SEP）</w:t>
      </w:r>
    </w:p>
    <w:p w14:paraId="396F199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是指由发射机、接收机、传感器、数据处理平台及辅助设备组成，可用于大地电磁法（MT）、音频大地电磁法（AMT）、极低频电磁法、可控源音频大地电磁法（CSAMT）、瞬变电磁法（TEM）和激发极化法（IP）等功能的地面电磁探测系统，简称SEP。</w:t>
      </w:r>
    </w:p>
    <w:p w14:paraId="76351A47" w14:textId="77777777" w:rsidR="00CD47A0" w:rsidRDefault="00CD47A0">
      <w:pPr>
        <w:pStyle w:val="af5"/>
        <w:ind w:firstLine="480"/>
        <w:rPr>
          <w:rStyle w:val="CharChar"/>
          <w:rFonts w:hint="default"/>
          <w:color w:val="000000"/>
          <w:sz w:val="24"/>
          <w:szCs w:val="24"/>
        </w:rPr>
      </w:pPr>
    </w:p>
    <w:p w14:paraId="6E3E1BFD" w14:textId="77777777" w:rsidR="00CD47A0" w:rsidRDefault="00000000">
      <w:pPr>
        <w:ind w:firstLine="420"/>
        <w:jc w:val="center"/>
        <w:rPr>
          <w:rFonts w:asciiTheme="majorEastAsia" w:eastAsiaTheme="majorEastAsia" w:hAnsiTheme="majorEastAsia" w:cstheme="majorEastAsia" w:hint="eastAsia"/>
          <w:sz w:val="28"/>
          <w:szCs w:val="28"/>
        </w:rPr>
      </w:pPr>
      <w:r>
        <w:rPr>
          <w:noProof/>
        </w:rPr>
        <w:drawing>
          <wp:inline distT="0" distB="0" distL="114300" distR="114300" wp14:anchorId="30BC4CCE" wp14:editId="42DB5187">
            <wp:extent cx="3873500" cy="1893570"/>
            <wp:effectExtent l="0" t="0" r="12700" b="1143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5"/>
                    <a:stretch>
                      <a:fillRect/>
                    </a:stretch>
                  </pic:blipFill>
                  <pic:spPr>
                    <a:xfrm>
                      <a:off x="0" y="0"/>
                      <a:ext cx="3873500" cy="1893570"/>
                    </a:xfrm>
                    <a:prstGeom prst="rect">
                      <a:avLst/>
                    </a:prstGeom>
                    <a:noFill/>
                    <a:ln>
                      <a:noFill/>
                    </a:ln>
                  </pic:spPr>
                </pic:pic>
              </a:graphicData>
            </a:graphic>
          </wp:inline>
        </w:drawing>
      </w:r>
    </w:p>
    <w:p w14:paraId="5FC49F09" w14:textId="77777777" w:rsidR="00CD47A0" w:rsidRDefault="00000000">
      <w:pPr>
        <w:ind w:firstLine="422"/>
        <w:jc w:val="center"/>
        <w:rPr>
          <w:rFonts w:ascii="黑体" w:eastAsia="黑体" w:hAnsi="黑体" w:cs="黑体" w:hint="eastAsia"/>
          <w:b/>
          <w:bCs/>
          <w:szCs w:val="21"/>
        </w:rPr>
      </w:pPr>
      <w:r>
        <w:rPr>
          <w:rFonts w:ascii="黑体" w:eastAsia="黑体" w:hAnsi="黑体" w:cs="黑体" w:hint="eastAsia"/>
          <w:b/>
          <w:bCs/>
          <w:szCs w:val="21"/>
        </w:rPr>
        <w:t>图</w:t>
      </w:r>
      <w:proofErr w:type="gramStart"/>
      <w:r>
        <w:rPr>
          <w:rFonts w:ascii="黑体" w:eastAsia="黑体" w:hAnsi="黑体" w:cs="黑体" w:hint="eastAsia"/>
          <w:b/>
          <w:bCs/>
          <w:szCs w:val="21"/>
        </w:rPr>
        <w:t>1  系统组成示意图</w:t>
      </w:r>
      <w:proofErr w:type="gramEnd"/>
    </w:p>
    <w:p w14:paraId="15160C4A" w14:textId="77777777" w:rsidR="00CD47A0" w:rsidRDefault="00000000">
      <w:pPr>
        <w:pStyle w:val="af5"/>
        <w:ind w:firstLineChars="0" w:firstLine="0"/>
        <w:rPr>
          <w:rStyle w:val="CharChar"/>
          <w:rFonts w:hint="default"/>
          <w:color w:val="000000"/>
          <w:sz w:val="24"/>
          <w:szCs w:val="24"/>
        </w:rPr>
      </w:pPr>
      <w:r>
        <w:rPr>
          <w:rStyle w:val="CharChar"/>
          <w:rFonts w:hint="default"/>
          <w:color w:val="000000"/>
          <w:sz w:val="24"/>
          <w:szCs w:val="24"/>
        </w:rPr>
        <w:t>3.1.2 大地电磁法（MT）</w:t>
      </w:r>
    </w:p>
    <w:p w14:paraId="09E23B9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是以天然交变电磁场为场源，通过在地表同时测量相互正交的天然电场和磁场分量，利用电磁波在导电介质中传播的趋肤效应原理，获取并研究地下不同深度介质的电阻率分布规律及地质构造特征的一种频率域电磁勘探方法。</w:t>
      </w:r>
    </w:p>
    <w:p w14:paraId="4713E47F" w14:textId="77777777" w:rsidR="00CD47A0" w:rsidRDefault="00000000">
      <w:pPr>
        <w:pStyle w:val="af5"/>
        <w:ind w:firstLineChars="0" w:firstLine="0"/>
        <w:rPr>
          <w:rStyle w:val="CharChar"/>
          <w:rFonts w:hint="default"/>
          <w:color w:val="000000"/>
          <w:sz w:val="24"/>
          <w:szCs w:val="24"/>
        </w:rPr>
      </w:pPr>
      <w:r>
        <w:rPr>
          <w:rStyle w:val="CharChar"/>
          <w:rFonts w:hint="default"/>
          <w:color w:val="000000"/>
          <w:sz w:val="24"/>
          <w:szCs w:val="24"/>
        </w:rPr>
        <w:t>3.1.3 音频大地电磁法（AMT）</w:t>
      </w:r>
    </w:p>
    <w:p w14:paraId="6131A62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属于大地电磁法的一个分支，同样以天然交变电磁场为场源，但其观测信号主要集中在音频频段。利用音频电磁波的趋肤效应，主要用于探查中浅部地质结构、岩性构造及介质电阻率分布特征。</w:t>
      </w:r>
    </w:p>
    <w:p w14:paraId="48C084C8" w14:textId="77777777" w:rsidR="00CD47A0" w:rsidRDefault="00000000">
      <w:pPr>
        <w:pStyle w:val="af5"/>
        <w:ind w:firstLineChars="0" w:firstLine="0"/>
        <w:rPr>
          <w:rStyle w:val="CharChar"/>
          <w:rFonts w:hint="default"/>
          <w:color w:val="000000"/>
          <w:sz w:val="24"/>
          <w:szCs w:val="24"/>
        </w:rPr>
      </w:pPr>
      <w:r>
        <w:rPr>
          <w:rStyle w:val="CharChar"/>
          <w:rFonts w:hint="default"/>
          <w:color w:val="000000"/>
          <w:sz w:val="24"/>
          <w:szCs w:val="24"/>
        </w:rPr>
        <w:t>3.1.4 极低频电磁法（WEM）</w:t>
      </w:r>
    </w:p>
    <w:p w14:paraId="1CB2B93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利用固定式人工场源发射极低频段交变电磁信号，在一定范围内观测电磁场响应，以研究地下介质电性结构的一种人工源频率域电磁勘探方法。</w:t>
      </w:r>
    </w:p>
    <w:p w14:paraId="0F78FEB4" w14:textId="77777777" w:rsidR="00CD47A0" w:rsidRDefault="00000000">
      <w:pPr>
        <w:pStyle w:val="af5"/>
        <w:ind w:firstLineChars="0" w:firstLine="0"/>
        <w:rPr>
          <w:rStyle w:val="CharChar"/>
          <w:rFonts w:hint="default"/>
          <w:color w:val="000000"/>
          <w:sz w:val="24"/>
          <w:szCs w:val="24"/>
        </w:rPr>
      </w:pPr>
      <w:proofErr w:type="gramStart"/>
      <w:r>
        <w:rPr>
          <w:rStyle w:val="CharChar"/>
          <w:rFonts w:hint="default"/>
          <w:color w:val="000000"/>
          <w:sz w:val="24"/>
          <w:szCs w:val="24"/>
        </w:rPr>
        <w:t>3.1.5  可控源音频大地电磁法</w:t>
      </w:r>
      <w:proofErr w:type="gramEnd"/>
      <w:r>
        <w:rPr>
          <w:rStyle w:val="CharChar"/>
          <w:rFonts w:hint="default"/>
          <w:color w:val="000000"/>
          <w:sz w:val="24"/>
          <w:szCs w:val="24"/>
        </w:rPr>
        <w:t>（CSAMT）</w:t>
      </w:r>
    </w:p>
    <w:p w14:paraId="2FCFF2F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以人工源（如接地电偶极源或不接地回线）发射音频频段的交变电磁信号作为场源，在满足平面波假设条件的远区测量正交的电场和磁场分量，根据电磁波的趋肤效应原理获取地下不同深度介质电阻率分布信息和目的体分布特征的电磁勘探方法。它有效克服了天然场源在某些频段信号微弱、易受干扰的缺点。</w:t>
      </w:r>
    </w:p>
    <w:p w14:paraId="57A7E031" w14:textId="77777777" w:rsidR="00CD47A0" w:rsidRDefault="00000000">
      <w:pPr>
        <w:pStyle w:val="af5"/>
        <w:ind w:firstLineChars="0" w:firstLine="0"/>
        <w:rPr>
          <w:rStyle w:val="CharChar"/>
          <w:rFonts w:hint="default"/>
          <w:color w:val="000000"/>
          <w:sz w:val="24"/>
          <w:szCs w:val="24"/>
        </w:rPr>
      </w:pPr>
      <w:proofErr w:type="gramStart"/>
      <w:r>
        <w:rPr>
          <w:rStyle w:val="CharChar"/>
          <w:rFonts w:hint="default"/>
          <w:color w:val="000000"/>
          <w:sz w:val="24"/>
          <w:szCs w:val="24"/>
        </w:rPr>
        <w:t>3.1.6  激发极化法</w:t>
      </w:r>
      <w:proofErr w:type="gramEnd"/>
      <w:r>
        <w:rPr>
          <w:rStyle w:val="CharChar"/>
          <w:rFonts w:hint="default"/>
          <w:color w:val="000000"/>
          <w:sz w:val="24"/>
          <w:szCs w:val="24"/>
        </w:rPr>
        <w:t>（IP）</w:t>
      </w:r>
    </w:p>
    <w:p w14:paraId="5E508D1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基于岩石、矿石等地质介质的激发极化效应差异，通过人工向地下供电，观测介质极化响应，以研究地下介质电性和极化特征的一类电法勘探方法。</w:t>
      </w:r>
    </w:p>
    <w:p w14:paraId="5340BA23"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proofErr w:type="gramStart"/>
      <w:r>
        <w:rPr>
          <w:rFonts w:ascii="黑体" w:eastAsia="黑体" w:hAnsi="黑体" w:cs="黑体" w:hint="eastAsia"/>
          <w:b/>
          <w:bCs/>
          <w:sz w:val="24"/>
        </w:rPr>
        <w:t>3.2  符号</w:t>
      </w:r>
      <w:proofErr w:type="gramEnd"/>
    </w:p>
    <w:p w14:paraId="7531BF4E" w14:textId="77777777" w:rsidR="00CD47A0" w:rsidRDefault="00000000">
      <w:pPr>
        <w:pStyle w:val="af5"/>
        <w:rPr>
          <w:rStyle w:val="CharChar"/>
          <w:rFonts w:hint="default"/>
          <w:color w:val="000000"/>
        </w:rPr>
      </w:pPr>
      <w:r>
        <w:rPr>
          <w:rStyle w:val="CharChar"/>
          <w:rFonts w:hint="default"/>
          <w:color w:val="000000"/>
        </w:rPr>
        <w:t>主要符号和计量单位见表1。</w:t>
      </w:r>
    </w:p>
    <w:p w14:paraId="10851770" w14:textId="77777777" w:rsidR="00CD47A0" w:rsidRDefault="00000000">
      <w:pPr>
        <w:spacing w:line="360" w:lineRule="auto"/>
        <w:ind w:firstLine="420"/>
        <w:jc w:val="center"/>
        <w:rPr>
          <w:rFonts w:eastAsia="黑体"/>
          <w:color w:val="000000"/>
          <w:szCs w:val="21"/>
        </w:rPr>
      </w:pPr>
      <w:r>
        <w:rPr>
          <w:rFonts w:eastAsia="黑体"/>
          <w:color w:val="000000"/>
          <w:szCs w:val="21"/>
        </w:rPr>
        <w:t>表</w:t>
      </w:r>
      <w:proofErr w:type="gramStart"/>
      <w:r>
        <w:rPr>
          <w:rFonts w:eastAsia="黑体"/>
          <w:color w:val="000000"/>
          <w:szCs w:val="21"/>
        </w:rPr>
        <w:t xml:space="preserve">1  </w:t>
      </w:r>
      <w:r>
        <w:rPr>
          <w:rFonts w:eastAsia="黑体"/>
          <w:color w:val="000000"/>
          <w:szCs w:val="21"/>
        </w:rPr>
        <w:t>符号和计量单位</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256"/>
        <w:gridCol w:w="2117"/>
        <w:gridCol w:w="2151"/>
        <w:gridCol w:w="1987"/>
      </w:tblGrid>
      <w:tr w:rsidR="00CD47A0" w14:paraId="50015BA9" w14:textId="77777777">
        <w:trPr>
          <w:jc w:val="center"/>
        </w:trPr>
        <w:tc>
          <w:tcPr>
            <w:tcW w:w="817" w:type="dxa"/>
            <w:vAlign w:val="center"/>
          </w:tcPr>
          <w:p w14:paraId="5CE0E027" w14:textId="77777777" w:rsidR="00CD47A0" w:rsidRDefault="00000000">
            <w:pPr>
              <w:adjustRightInd w:val="0"/>
              <w:snapToGrid w:val="0"/>
              <w:spacing w:before="100" w:beforeAutospacing="1" w:after="100" w:afterAutospacing="1" w:line="360" w:lineRule="auto"/>
              <w:ind w:firstLineChars="0" w:firstLine="0"/>
              <w:jc w:val="center"/>
              <w:rPr>
                <w:bCs/>
                <w:color w:val="000000"/>
                <w:szCs w:val="21"/>
              </w:rPr>
            </w:pPr>
            <w:r>
              <w:rPr>
                <w:bCs/>
                <w:color w:val="000000"/>
                <w:szCs w:val="21"/>
              </w:rPr>
              <w:t>序号</w:t>
            </w:r>
          </w:p>
        </w:tc>
        <w:tc>
          <w:tcPr>
            <w:tcW w:w="1305" w:type="dxa"/>
            <w:vAlign w:val="center"/>
          </w:tcPr>
          <w:p w14:paraId="3A042869" w14:textId="77777777" w:rsidR="00CD47A0" w:rsidRDefault="00000000">
            <w:pPr>
              <w:adjustRightInd w:val="0"/>
              <w:snapToGrid w:val="0"/>
              <w:spacing w:before="100" w:beforeAutospacing="1" w:after="100" w:afterAutospacing="1" w:line="360" w:lineRule="auto"/>
              <w:ind w:firstLineChars="0" w:firstLine="0"/>
              <w:jc w:val="center"/>
              <w:rPr>
                <w:bCs/>
                <w:color w:val="000000"/>
                <w:szCs w:val="21"/>
              </w:rPr>
            </w:pPr>
            <w:r>
              <w:rPr>
                <w:bCs/>
                <w:color w:val="000000"/>
                <w:szCs w:val="21"/>
              </w:rPr>
              <w:t>符号</w:t>
            </w:r>
          </w:p>
        </w:tc>
        <w:tc>
          <w:tcPr>
            <w:tcW w:w="2268" w:type="dxa"/>
            <w:vAlign w:val="center"/>
          </w:tcPr>
          <w:p w14:paraId="4C8F21BB" w14:textId="77777777" w:rsidR="00CD47A0" w:rsidRDefault="00000000">
            <w:pPr>
              <w:adjustRightInd w:val="0"/>
              <w:snapToGrid w:val="0"/>
              <w:spacing w:before="100" w:beforeAutospacing="1" w:after="100" w:afterAutospacing="1" w:line="360" w:lineRule="auto"/>
              <w:ind w:firstLineChars="0" w:firstLine="0"/>
              <w:jc w:val="center"/>
              <w:rPr>
                <w:bCs/>
                <w:color w:val="000000"/>
                <w:szCs w:val="21"/>
              </w:rPr>
            </w:pPr>
            <w:r>
              <w:rPr>
                <w:bCs/>
                <w:color w:val="000000"/>
                <w:szCs w:val="21"/>
              </w:rPr>
              <w:t>名称</w:t>
            </w:r>
          </w:p>
        </w:tc>
        <w:tc>
          <w:tcPr>
            <w:tcW w:w="2268" w:type="dxa"/>
            <w:vAlign w:val="center"/>
          </w:tcPr>
          <w:p w14:paraId="2A0DD7C1" w14:textId="77777777" w:rsidR="00CD47A0" w:rsidRDefault="00000000">
            <w:pPr>
              <w:adjustRightInd w:val="0"/>
              <w:snapToGrid w:val="0"/>
              <w:spacing w:before="100" w:beforeAutospacing="1" w:after="100" w:afterAutospacing="1" w:line="360" w:lineRule="auto"/>
              <w:ind w:firstLineChars="0" w:firstLine="0"/>
              <w:jc w:val="center"/>
              <w:rPr>
                <w:bCs/>
                <w:color w:val="000000"/>
                <w:szCs w:val="21"/>
              </w:rPr>
            </w:pPr>
            <w:r>
              <w:rPr>
                <w:bCs/>
                <w:color w:val="000000"/>
                <w:szCs w:val="21"/>
              </w:rPr>
              <w:t>计量单位</w:t>
            </w:r>
          </w:p>
        </w:tc>
        <w:tc>
          <w:tcPr>
            <w:tcW w:w="2097" w:type="dxa"/>
            <w:vAlign w:val="center"/>
          </w:tcPr>
          <w:p w14:paraId="701AD244" w14:textId="77777777" w:rsidR="00CD47A0" w:rsidRDefault="00000000">
            <w:pPr>
              <w:adjustRightInd w:val="0"/>
              <w:snapToGrid w:val="0"/>
              <w:spacing w:before="100" w:beforeAutospacing="1" w:after="100" w:afterAutospacing="1" w:line="360" w:lineRule="auto"/>
              <w:ind w:firstLineChars="0" w:firstLine="0"/>
              <w:jc w:val="center"/>
              <w:rPr>
                <w:bCs/>
                <w:color w:val="000000"/>
                <w:szCs w:val="21"/>
              </w:rPr>
            </w:pPr>
            <w:r>
              <w:rPr>
                <w:bCs/>
                <w:color w:val="000000"/>
                <w:szCs w:val="21"/>
              </w:rPr>
              <w:t>备注</w:t>
            </w:r>
          </w:p>
        </w:tc>
      </w:tr>
      <w:tr w:rsidR="00CD47A0" w14:paraId="7E5C0E4D" w14:textId="77777777">
        <w:trPr>
          <w:jc w:val="center"/>
        </w:trPr>
        <w:tc>
          <w:tcPr>
            <w:tcW w:w="817" w:type="dxa"/>
            <w:vAlign w:val="center"/>
          </w:tcPr>
          <w:p w14:paraId="5F263E08"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w:t>
            </w:r>
          </w:p>
        </w:tc>
        <w:tc>
          <w:tcPr>
            <w:tcW w:w="1305" w:type="dxa"/>
            <w:vAlign w:val="center"/>
          </w:tcPr>
          <w:p w14:paraId="5926985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Tx</w:t>
            </w:r>
          </w:p>
        </w:tc>
        <w:tc>
          <w:tcPr>
            <w:tcW w:w="2268" w:type="dxa"/>
            <w:vAlign w:val="center"/>
          </w:tcPr>
          <w:p w14:paraId="38B0115C"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发射系统</w:t>
            </w:r>
          </w:p>
        </w:tc>
        <w:tc>
          <w:tcPr>
            <w:tcW w:w="2268" w:type="dxa"/>
            <w:vAlign w:val="center"/>
          </w:tcPr>
          <w:p w14:paraId="5596CDA3"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w:t>
            </w:r>
          </w:p>
        </w:tc>
        <w:tc>
          <w:tcPr>
            <w:tcW w:w="2097" w:type="dxa"/>
            <w:vAlign w:val="center"/>
          </w:tcPr>
          <w:p w14:paraId="155BD08B"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37D4B302" w14:textId="77777777">
        <w:trPr>
          <w:jc w:val="center"/>
        </w:trPr>
        <w:tc>
          <w:tcPr>
            <w:tcW w:w="817" w:type="dxa"/>
            <w:vAlign w:val="center"/>
          </w:tcPr>
          <w:p w14:paraId="2C9DADD0"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2</w:t>
            </w:r>
          </w:p>
        </w:tc>
        <w:tc>
          <w:tcPr>
            <w:tcW w:w="1305" w:type="dxa"/>
            <w:vAlign w:val="center"/>
          </w:tcPr>
          <w:p w14:paraId="3821D88F"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Rx</w:t>
            </w:r>
          </w:p>
        </w:tc>
        <w:tc>
          <w:tcPr>
            <w:tcW w:w="2268" w:type="dxa"/>
            <w:vAlign w:val="center"/>
          </w:tcPr>
          <w:p w14:paraId="057DB12E"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接收系统</w:t>
            </w:r>
          </w:p>
        </w:tc>
        <w:tc>
          <w:tcPr>
            <w:tcW w:w="2268" w:type="dxa"/>
            <w:vAlign w:val="center"/>
          </w:tcPr>
          <w:p w14:paraId="4202F346"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w:t>
            </w:r>
          </w:p>
        </w:tc>
        <w:tc>
          <w:tcPr>
            <w:tcW w:w="2097" w:type="dxa"/>
            <w:vAlign w:val="center"/>
          </w:tcPr>
          <w:p w14:paraId="063B9BCD"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487279CE" w14:textId="77777777">
        <w:trPr>
          <w:jc w:val="center"/>
        </w:trPr>
        <w:tc>
          <w:tcPr>
            <w:tcW w:w="817" w:type="dxa"/>
            <w:vAlign w:val="center"/>
          </w:tcPr>
          <w:p w14:paraId="75E41BA8"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3</w:t>
            </w:r>
          </w:p>
        </w:tc>
        <w:tc>
          <w:tcPr>
            <w:tcW w:w="1305" w:type="dxa"/>
            <w:vAlign w:val="center"/>
          </w:tcPr>
          <w:p w14:paraId="4B05E442"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L</w:t>
            </w:r>
          </w:p>
        </w:tc>
        <w:tc>
          <w:tcPr>
            <w:tcW w:w="2268" w:type="dxa"/>
            <w:vAlign w:val="center"/>
          </w:tcPr>
          <w:p w14:paraId="3C1284EE"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发射源长度</w:t>
            </w:r>
          </w:p>
        </w:tc>
        <w:tc>
          <w:tcPr>
            <w:tcW w:w="2268" w:type="dxa"/>
            <w:vAlign w:val="center"/>
          </w:tcPr>
          <w:p w14:paraId="2D8266D8"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m</w:t>
            </w:r>
            <w:r>
              <w:rPr>
                <w:color w:val="000000"/>
                <w:szCs w:val="21"/>
              </w:rPr>
              <w:t>（米）</w:t>
            </w:r>
          </w:p>
        </w:tc>
        <w:tc>
          <w:tcPr>
            <w:tcW w:w="2097" w:type="dxa"/>
            <w:vAlign w:val="center"/>
          </w:tcPr>
          <w:p w14:paraId="7EB031C6"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1BD13E09" w14:textId="77777777">
        <w:trPr>
          <w:jc w:val="center"/>
        </w:trPr>
        <w:tc>
          <w:tcPr>
            <w:tcW w:w="817" w:type="dxa"/>
            <w:vAlign w:val="center"/>
          </w:tcPr>
          <w:p w14:paraId="6AB7BDD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4</w:t>
            </w:r>
          </w:p>
        </w:tc>
        <w:tc>
          <w:tcPr>
            <w:tcW w:w="1305" w:type="dxa"/>
            <w:vAlign w:val="center"/>
          </w:tcPr>
          <w:p w14:paraId="25FB7B96"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r</w:t>
            </w:r>
          </w:p>
        </w:tc>
        <w:tc>
          <w:tcPr>
            <w:tcW w:w="2268" w:type="dxa"/>
            <w:vAlign w:val="center"/>
          </w:tcPr>
          <w:p w14:paraId="3BC0FB17"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偏移距</w:t>
            </w:r>
          </w:p>
        </w:tc>
        <w:tc>
          <w:tcPr>
            <w:tcW w:w="2268" w:type="dxa"/>
            <w:vAlign w:val="center"/>
          </w:tcPr>
          <w:p w14:paraId="756D73C6"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m</w:t>
            </w:r>
            <w:r>
              <w:rPr>
                <w:color w:val="000000"/>
                <w:szCs w:val="21"/>
              </w:rPr>
              <w:t>（米）</w:t>
            </w:r>
          </w:p>
        </w:tc>
        <w:tc>
          <w:tcPr>
            <w:tcW w:w="2097" w:type="dxa"/>
            <w:vAlign w:val="center"/>
          </w:tcPr>
          <w:p w14:paraId="02FF6BA5"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0C495711" w14:textId="77777777">
        <w:trPr>
          <w:jc w:val="center"/>
        </w:trPr>
        <w:tc>
          <w:tcPr>
            <w:tcW w:w="817" w:type="dxa"/>
            <w:vAlign w:val="center"/>
          </w:tcPr>
          <w:p w14:paraId="45458F60"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5</w:t>
            </w:r>
          </w:p>
        </w:tc>
        <w:tc>
          <w:tcPr>
            <w:tcW w:w="1305" w:type="dxa"/>
            <w:vAlign w:val="center"/>
          </w:tcPr>
          <w:p w14:paraId="189A37E2"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f</w:t>
            </w:r>
          </w:p>
        </w:tc>
        <w:tc>
          <w:tcPr>
            <w:tcW w:w="2268" w:type="dxa"/>
            <w:vAlign w:val="center"/>
          </w:tcPr>
          <w:p w14:paraId="6F5EA30E"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发射电流基频</w:t>
            </w:r>
          </w:p>
        </w:tc>
        <w:tc>
          <w:tcPr>
            <w:tcW w:w="2268" w:type="dxa"/>
            <w:vAlign w:val="center"/>
          </w:tcPr>
          <w:p w14:paraId="1CA234A4"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Hz</w:t>
            </w:r>
            <w:r>
              <w:rPr>
                <w:color w:val="000000"/>
                <w:szCs w:val="21"/>
              </w:rPr>
              <w:t>（赫兹）</w:t>
            </w:r>
          </w:p>
        </w:tc>
        <w:tc>
          <w:tcPr>
            <w:tcW w:w="2097" w:type="dxa"/>
            <w:vAlign w:val="center"/>
          </w:tcPr>
          <w:p w14:paraId="15CA486E"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3BCFD169" w14:textId="77777777">
        <w:trPr>
          <w:jc w:val="center"/>
        </w:trPr>
        <w:tc>
          <w:tcPr>
            <w:tcW w:w="817" w:type="dxa"/>
            <w:vAlign w:val="center"/>
          </w:tcPr>
          <w:p w14:paraId="749DD601"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6</w:t>
            </w:r>
          </w:p>
        </w:tc>
        <w:tc>
          <w:tcPr>
            <w:tcW w:w="1305" w:type="dxa"/>
            <w:vAlign w:val="center"/>
          </w:tcPr>
          <w:p w14:paraId="6627D25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I</w:t>
            </w:r>
          </w:p>
        </w:tc>
        <w:tc>
          <w:tcPr>
            <w:tcW w:w="2268" w:type="dxa"/>
            <w:vAlign w:val="center"/>
          </w:tcPr>
          <w:p w14:paraId="20BDDFC7"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发射电流强度</w:t>
            </w:r>
          </w:p>
        </w:tc>
        <w:tc>
          <w:tcPr>
            <w:tcW w:w="2268" w:type="dxa"/>
            <w:vAlign w:val="center"/>
          </w:tcPr>
          <w:p w14:paraId="2F3E8C4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A</w:t>
            </w:r>
            <w:r>
              <w:rPr>
                <w:color w:val="000000"/>
                <w:szCs w:val="21"/>
              </w:rPr>
              <w:t>（安培）</w:t>
            </w:r>
          </w:p>
        </w:tc>
        <w:tc>
          <w:tcPr>
            <w:tcW w:w="2097" w:type="dxa"/>
            <w:vAlign w:val="center"/>
          </w:tcPr>
          <w:p w14:paraId="0D98D92A"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485030D1" w14:textId="77777777">
        <w:trPr>
          <w:jc w:val="center"/>
        </w:trPr>
        <w:tc>
          <w:tcPr>
            <w:tcW w:w="817" w:type="dxa"/>
            <w:vAlign w:val="center"/>
          </w:tcPr>
          <w:p w14:paraId="2EA188F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7</w:t>
            </w:r>
          </w:p>
        </w:tc>
        <w:tc>
          <w:tcPr>
            <w:tcW w:w="1305" w:type="dxa"/>
            <w:vAlign w:val="center"/>
          </w:tcPr>
          <w:p w14:paraId="0610C4E0"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B</w:t>
            </w:r>
          </w:p>
        </w:tc>
        <w:tc>
          <w:tcPr>
            <w:tcW w:w="2268" w:type="dxa"/>
            <w:vAlign w:val="center"/>
          </w:tcPr>
          <w:p w14:paraId="4C5D87FC"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磁感应强度</w:t>
            </w:r>
          </w:p>
        </w:tc>
        <w:tc>
          <w:tcPr>
            <w:tcW w:w="2268" w:type="dxa"/>
            <w:vAlign w:val="center"/>
          </w:tcPr>
          <w:p w14:paraId="3B36BABE"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proofErr w:type="spellStart"/>
            <w:r>
              <w:rPr>
                <w:color w:val="000000"/>
                <w:szCs w:val="21"/>
              </w:rPr>
              <w:t>nT</w:t>
            </w:r>
            <w:proofErr w:type="spellEnd"/>
            <w:r>
              <w:rPr>
                <w:color w:val="000000"/>
                <w:szCs w:val="21"/>
              </w:rPr>
              <w:t>（纳特）</w:t>
            </w:r>
          </w:p>
        </w:tc>
        <w:tc>
          <w:tcPr>
            <w:tcW w:w="2097" w:type="dxa"/>
            <w:vAlign w:val="center"/>
          </w:tcPr>
          <w:p w14:paraId="3DA6EFF4"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21D11F28" w14:textId="77777777">
        <w:trPr>
          <w:jc w:val="center"/>
        </w:trPr>
        <w:tc>
          <w:tcPr>
            <w:tcW w:w="817" w:type="dxa"/>
            <w:vAlign w:val="center"/>
          </w:tcPr>
          <w:p w14:paraId="476D9F36"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8</w:t>
            </w:r>
          </w:p>
        </w:tc>
        <w:tc>
          <w:tcPr>
            <w:tcW w:w="1305" w:type="dxa"/>
            <w:vAlign w:val="center"/>
          </w:tcPr>
          <w:p w14:paraId="5381B9E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V(t)</w:t>
            </w:r>
          </w:p>
        </w:tc>
        <w:tc>
          <w:tcPr>
            <w:tcW w:w="2268" w:type="dxa"/>
            <w:vAlign w:val="center"/>
          </w:tcPr>
          <w:p w14:paraId="32C694BC"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感应电压</w:t>
            </w:r>
          </w:p>
        </w:tc>
        <w:tc>
          <w:tcPr>
            <w:tcW w:w="2268" w:type="dxa"/>
            <w:vAlign w:val="center"/>
          </w:tcPr>
          <w:p w14:paraId="0744CFC2"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proofErr w:type="spellStart"/>
            <w:r>
              <w:rPr>
                <w:color w:val="000000"/>
                <w:szCs w:val="21"/>
              </w:rPr>
              <w:t>nV</w:t>
            </w:r>
            <w:proofErr w:type="spellEnd"/>
            <w:r>
              <w:rPr>
                <w:color w:val="000000"/>
                <w:szCs w:val="21"/>
              </w:rPr>
              <w:t>/m</w:t>
            </w:r>
            <w:r>
              <w:rPr>
                <w:color w:val="000000"/>
                <w:szCs w:val="21"/>
                <w:vertAlign w:val="superscript"/>
              </w:rPr>
              <w:t>2</w:t>
            </w:r>
            <w:r>
              <w:rPr>
                <w:color w:val="000000"/>
                <w:szCs w:val="21"/>
              </w:rPr>
              <w:t>（纳伏每平方米）</w:t>
            </w:r>
          </w:p>
        </w:tc>
        <w:tc>
          <w:tcPr>
            <w:tcW w:w="2097" w:type="dxa"/>
            <w:vAlign w:val="center"/>
          </w:tcPr>
          <w:p w14:paraId="75E308AF"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37D65FAE" w14:textId="77777777">
        <w:trPr>
          <w:jc w:val="center"/>
        </w:trPr>
        <w:tc>
          <w:tcPr>
            <w:tcW w:w="817" w:type="dxa"/>
            <w:vAlign w:val="center"/>
          </w:tcPr>
          <w:p w14:paraId="6EA5057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9</w:t>
            </w:r>
          </w:p>
        </w:tc>
        <w:tc>
          <w:tcPr>
            <w:tcW w:w="1305" w:type="dxa"/>
            <w:vAlign w:val="center"/>
          </w:tcPr>
          <w:p w14:paraId="4BD082F2"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dB/dt</w:t>
            </w:r>
          </w:p>
        </w:tc>
        <w:tc>
          <w:tcPr>
            <w:tcW w:w="2268" w:type="dxa"/>
            <w:vAlign w:val="center"/>
          </w:tcPr>
          <w:p w14:paraId="193C658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rFonts w:hint="eastAsia"/>
                <w:color w:val="000000"/>
                <w:szCs w:val="21"/>
              </w:rPr>
              <w:t>磁感应强度随时间的变化率</w:t>
            </w:r>
          </w:p>
        </w:tc>
        <w:tc>
          <w:tcPr>
            <w:tcW w:w="2268" w:type="dxa"/>
            <w:vAlign w:val="center"/>
          </w:tcPr>
          <w:p w14:paraId="3D1040F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proofErr w:type="spellStart"/>
            <w:r>
              <w:rPr>
                <w:color w:val="000000"/>
                <w:szCs w:val="21"/>
              </w:rPr>
              <w:t>nT</w:t>
            </w:r>
            <w:proofErr w:type="spellEnd"/>
            <w:r>
              <w:rPr>
                <w:color w:val="000000"/>
                <w:szCs w:val="21"/>
              </w:rPr>
              <w:t>/s</w:t>
            </w:r>
            <w:r>
              <w:rPr>
                <w:color w:val="000000"/>
                <w:szCs w:val="21"/>
              </w:rPr>
              <w:t>（纳</w:t>
            </w:r>
            <w:r>
              <w:rPr>
                <w:rFonts w:hint="eastAsia"/>
                <w:color w:val="000000"/>
                <w:szCs w:val="21"/>
              </w:rPr>
              <w:t>特</w:t>
            </w:r>
            <w:r>
              <w:rPr>
                <w:color w:val="000000"/>
                <w:szCs w:val="21"/>
              </w:rPr>
              <w:t>每</w:t>
            </w:r>
            <w:r>
              <w:rPr>
                <w:rFonts w:hint="eastAsia"/>
                <w:color w:val="000000"/>
                <w:szCs w:val="21"/>
              </w:rPr>
              <w:t>秒</w:t>
            </w:r>
            <w:r>
              <w:rPr>
                <w:color w:val="000000"/>
                <w:szCs w:val="21"/>
              </w:rPr>
              <w:t>）</w:t>
            </w:r>
          </w:p>
        </w:tc>
        <w:tc>
          <w:tcPr>
            <w:tcW w:w="2097" w:type="dxa"/>
            <w:vAlign w:val="center"/>
          </w:tcPr>
          <w:p w14:paraId="339A0C4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接收面积归一，计量单位等同于</w:t>
            </w:r>
            <w:proofErr w:type="spellStart"/>
            <w:r>
              <w:rPr>
                <w:color w:val="000000"/>
                <w:szCs w:val="21"/>
              </w:rPr>
              <w:t>nV</w:t>
            </w:r>
            <w:proofErr w:type="spellEnd"/>
            <w:r>
              <w:rPr>
                <w:color w:val="000000"/>
                <w:szCs w:val="21"/>
              </w:rPr>
              <w:t>/m</w:t>
            </w:r>
            <w:r>
              <w:rPr>
                <w:color w:val="000000"/>
                <w:szCs w:val="21"/>
                <w:vertAlign w:val="superscript"/>
              </w:rPr>
              <w:t>2</w:t>
            </w:r>
            <w:r>
              <w:rPr>
                <w:color w:val="000000"/>
                <w:szCs w:val="21"/>
              </w:rPr>
              <w:t>（纳伏每平方米）</w:t>
            </w:r>
          </w:p>
        </w:tc>
      </w:tr>
      <w:tr w:rsidR="00CD47A0" w14:paraId="29B5BD64" w14:textId="77777777">
        <w:trPr>
          <w:jc w:val="center"/>
        </w:trPr>
        <w:tc>
          <w:tcPr>
            <w:tcW w:w="817" w:type="dxa"/>
            <w:vAlign w:val="center"/>
          </w:tcPr>
          <w:p w14:paraId="36216629"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10</w:t>
            </w:r>
          </w:p>
        </w:tc>
        <w:tc>
          <w:tcPr>
            <w:tcW w:w="1305" w:type="dxa"/>
            <w:vAlign w:val="center"/>
          </w:tcPr>
          <w:p w14:paraId="3A590577"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t</w:t>
            </w:r>
          </w:p>
        </w:tc>
        <w:tc>
          <w:tcPr>
            <w:tcW w:w="2268" w:type="dxa"/>
            <w:vAlign w:val="center"/>
          </w:tcPr>
          <w:p w14:paraId="04338684"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采样时窗中心时间</w:t>
            </w:r>
          </w:p>
        </w:tc>
        <w:tc>
          <w:tcPr>
            <w:tcW w:w="2268" w:type="dxa"/>
            <w:vAlign w:val="center"/>
          </w:tcPr>
          <w:p w14:paraId="47BC3917"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proofErr w:type="spellStart"/>
            <w:r>
              <w:rPr>
                <w:color w:val="000000"/>
                <w:szCs w:val="21"/>
              </w:rPr>
              <w:t>ms</w:t>
            </w:r>
            <w:proofErr w:type="spellEnd"/>
            <w:r>
              <w:rPr>
                <w:color w:val="000000"/>
                <w:szCs w:val="21"/>
              </w:rPr>
              <w:t>（毫秒）</w:t>
            </w:r>
          </w:p>
        </w:tc>
        <w:tc>
          <w:tcPr>
            <w:tcW w:w="2097" w:type="dxa"/>
            <w:vAlign w:val="center"/>
          </w:tcPr>
          <w:p w14:paraId="1AE6F79B"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6B6B3E59" w14:textId="77777777">
        <w:trPr>
          <w:jc w:val="center"/>
        </w:trPr>
        <w:tc>
          <w:tcPr>
            <w:tcW w:w="817" w:type="dxa"/>
            <w:vAlign w:val="center"/>
          </w:tcPr>
          <w:p w14:paraId="3C2F7521"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11</w:t>
            </w:r>
          </w:p>
        </w:tc>
        <w:tc>
          <w:tcPr>
            <w:tcW w:w="1305" w:type="dxa"/>
            <w:vAlign w:val="center"/>
          </w:tcPr>
          <w:p w14:paraId="03AD37A0"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ρ</w:t>
            </w:r>
          </w:p>
        </w:tc>
        <w:tc>
          <w:tcPr>
            <w:tcW w:w="2268" w:type="dxa"/>
            <w:vAlign w:val="center"/>
          </w:tcPr>
          <w:p w14:paraId="273BB74A"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视电阻率</w:t>
            </w:r>
          </w:p>
        </w:tc>
        <w:tc>
          <w:tcPr>
            <w:tcW w:w="2268" w:type="dxa"/>
            <w:vAlign w:val="center"/>
          </w:tcPr>
          <w:p w14:paraId="38F35445"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proofErr w:type="spellStart"/>
            <w:r>
              <w:rPr>
                <w:color w:val="000000"/>
                <w:szCs w:val="21"/>
              </w:rPr>
              <w:t>Ω.m</w:t>
            </w:r>
            <w:proofErr w:type="spellEnd"/>
            <w:r>
              <w:rPr>
                <w:color w:val="000000"/>
                <w:szCs w:val="21"/>
              </w:rPr>
              <w:t>（</w:t>
            </w:r>
            <w:proofErr w:type="gramStart"/>
            <w:r>
              <w:rPr>
                <w:color w:val="000000"/>
                <w:szCs w:val="21"/>
              </w:rPr>
              <w:t>欧姆</w:t>
            </w:r>
            <w:r>
              <w:rPr>
                <w:color w:val="000000"/>
                <w:szCs w:val="21"/>
              </w:rPr>
              <w:t>.</w:t>
            </w:r>
            <w:proofErr w:type="gramEnd"/>
            <w:r>
              <w:rPr>
                <w:color w:val="000000"/>
                <w:szCs w:val="21"/>
              </w:rPr>
              <w:t>米）</w:t>
            </w:r>
          </w:p>
        </w:tc>
        <w:tc>
          <w:tcPr>
            <w:tcW w:w="2097" w:type="dxa"/>
            <w:vAlign w:val="center"/>
          </w:tcPr>
          <w:p w14:paraId="69F4B25B"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39627C6C" w14:textId="77777777">
        <w:trPr>
          <w:jc w:val="center"/>
        </w:trPr>
        <w:tc>
          <w:tcPr>
            <w:tcW w:w="817" w:type="dxa"/>
            <w:vAlign w:val="center"/>
          </w:tcPr>
          <w:p w14:paraId="0C43CEC0"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12</w:t>
            </w:r>
          </w:p>
        </w:tc>
        <w:tc>
          <w:tcPr>
            <w:tcW w:w="1305" w:type="dxa"/>
            <w:vAlign w:val="center"/>
          </w:tcPr>
          <w:p w14:paraId="205F5D51"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S</w:t>
            </w:r>
          </w:p>
        </w:tc>
        <w:tc>
          <w:tcPr>
            <w:tcW w:w="2268" w:type="dxa"/>
            <w:vAlign w:val="center"/>
          </w:tcPr>
          <w:p w14:paraId="058B9D6F"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视纵向电导</w:t>
            </w:r>
          </w:p>
        </w:tc>
        <w:tc>
          <w:tcPr>
            <w:tcW w:w="2268" w:type="dxa"/>
            <w:vAlign w:val="center"/>
          </w:tcPr>
          <w:p w14:paraId="582356DB"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S</w:t>
            </w:r>
            <w:r>
              <w:rPr>
                <w:color w:val="000000"/>
                <w:szCs w:val="21"/>
              </w:rPr>
              <w:t>（西门子）</w:t>
            </w:r>
          </w:p>
        </w:tc>
        <w:tc>
          <w:tcPr>
            <w:tcW w:w="2097" w:type="dxa"/>
            <w:vAlign w:val="center"/>
          </w:tcPr>
          <w:p w14:paraId="5EC7FDDA"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661714A6" w14:textId="77777777">
        <w:trPr>
          <w:jc w:val="center"/>
        </w:trPr>
        <w:tc>
          <w:tcPr>
            <w:tcW w:w="817" w:type="dxa"/>
            <w:vAlign w:val="center"/>
          </w:tcPr>
          <w:p w14:paraId="124C081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13</w:t>
            </w:r>
          </w:p>
        </w:tc>
        <w:tc>
          <w:tcPr>
            <w:tcW w:w="1305" w:type="dxa"/>
            <w:vAlign w:val="center"/>
          </w:tcPr>
          <w:p w14:paraId="09E001F4"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h</w:t>
            </w:r>
          </w:p>
        </w:tc>
        <w:tc>
          <w:tcPr>
            <w:tcW w:w="2268" w:type="dxa"/>
            <w:vAlign w:val="center"/>
          </w:tcPr>
          <w:p w14:paraId="71B790B4"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探测深度</w:t>
            </w:r>
          </w:p>
        </w:tc>
        <w:tc>
          <w:tcPr>
            <w:tcW w:w="2268" w:type="dxa"/>
            <w:vAlign w:val="center"/>
          </w:tcPr>
          <w:p w14:paraId="2A3749E5"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m</w:t>
            </w:r>
            <w:r>
              <w:rPr>
                <w:color w:val="000000"/>
                <w:szCs w:val="21"/>
              </w:rPr>
              <w:t>（米）</w:t>
            </w:r>
          </w:p>
        </w:tc>
        <w:tc>
          <w:tcPr>
            <w:tcW w:w="2097" w:type="dxa"/>
            <w:vAlign w:val="center"/>
          </w:tcPr>
          <w:p w14:paraId="261A9D73"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r w:rsidR="00CD47A0" w14:paraId="4B439122" w14:textId="77777777">
        <w:trPr>
          <w:jc w:val="center"/>
        </w:trPr>
        <w:tc>
          <w:tcPr>
            <w:tcW w:w="817" w:type="dxa"/>
            <w:vAlign w:val="center"/>
          </w:tcPr>
          <w:p w14:paraId="1E801646"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14</w:t>
            </w:r>
          </w:p>
        </w:tc>
        <w:tc>
          <w:tcPr>
            <w:tcW w:w="1305" w:type="dxa"/>
            <w:vAlign w:val="center"/>
          </w:tcPr>
          <w:p w14:paraId="32E33979"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E</w:t>
            </w:r>
          </w:p>
        </w:tc>
        <w:tc>
          <w:tcPr>
            <w:tcW w:w="2268" w:type="dxa"/>
            <w:vAlign w:val="center"/>
          </w:tcPr>
          <w:p w14:paraId="522099B8"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电场强度</w:t>
            </w:r>
          </w:p>
        </w:tc>
        <w:tc>
          <w:tcPr>
            <w:tcW w:w="2268" w:type="dxa"/>
            <w:vAlign w:val="center"/>
          </w:tcPr>
          <w:p w14:paraId="47B5FB9D" w14:textId="77777777" w:rsidR="00CD47A0" w:rsidRDefault="00000000">
            <w:pPr>
              <w:adjustRightInd w:val="0"/>
              <w:snapToGrid w:val="0"/>
              <w:spacing w:before="100" w:beforeAutospacing="1" w:after="100" w:afterAutospacing="1" w:line="360" w:lineRule="auto"/>
              <w:ind w:firstLineChars="0" w:firstLine="0"/>
              <w:jc w:val="center"/>
              <w:rPr>
                <w:color w:val="000000"/>
                <w:szCs w:val="21"/>
              </w:rPr>
            </w:pPr>
            <w:r>
              <w:rPr>
                <w:color w:val="000000"/>
                <w:szCs w:val="21"/>
              </w:rPr>
              <w:t>V/m</w:t>
            </w:r>
            <w:r>
              <w:rPr>
                <w:color w:val="000000"/>
                <w:szCs w:val="21"/>
              </w:rPr>
              <w:t>（伏</w:t>
            </w:r>
            <w:r>
              <w:rPr>
                <w:color w:val="000000"/>
                <w:szCs w:val="21"/>
              </w:rPr>
              <w:t>/</w:t>
            </w:r>
            <w:r>
              <w:rPr>
                <w:color w:val="000000"/>
                <w:szCs w:val="21"/>
              </w:rPr>
              <w:t>米）</w:t>
            </w:r>
          </w:p>
        </w:tc>
        <w:tc>
          <w:tcPr>
            <w:tcW w:w="2097" w:type="dxa"/>
            <w:vAlign w:val="center"/>
          </w:tcPr>
          <w:p w14:paraId="2B8292B9" w14:textId="77777777" w:rsidR="00CD47A0" w:rsidRDefault="00CD47A0">
            <w:pPr>
              <w:adjustRightInd w:val="0"/>
              <w:snapToGrid w:val="0"/>
              <w:spacing w:before="100" w:beforeAutospacing="1" w:after="100" w:afterAutospacing="1" w:line="360" w:lineRule="auto"/>
              <w:ind w:firstLineChars="0" w:firstLine="0"/>
              <w:jc w:val="center"/>
              <w:rPr>
                <w:color w:val="000000"/>
                <w:szCs w:val="21"/>
              </w:rPr>
            </w:pPr>
          </w:p>
        </w:tc>
      </w:tr>
    </w:tbl>
    <w:p w14:paraId="7A239B97" w14:textId="77777777" w:rsidR="00CD47A0" w:rsidRDefault="00CD47A0">
      <w:pPr>
        <w:ind w:firstLine="422"/>
        <w:jc w:val="left"/>
        <w:rPr>
          <w:rFonts w:ascii="黑体" w:eastAsia="黑体" w:hAnsi="黑体" w:cs="黑体" w:hint="eastAsia"/>
          <w:b/>
          <w:bCs/>
          <w:szCs w:val="21"/>
        </w:rPr>
      </w:pPr>
    </w:p>
    <w:p w14:paraId="4314F2AE"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7" w:name="_Toc230353275"/>
      <w:proofErr w:type="gramStart"/>
      <w:r>
        <w:rPr>
          <w:rFonts w:ascii="黑体" w:eastAsia="黑体" w:hAnsi="黑体" w:cs="黑体" w:hint="eastAsia"/>
          <w:b/>
          <w:bCs/>
          <w:sz w:val="24"/>
        </w:rPr>
        <w:t>4  系统组成</w:t>
      </w:r>
      <w:bookmarkEnd w:id="7"/>
      <w:proofErr w:type="gramEnd"/>
    </w:p>
    <w:p w14:paraId="15AEDCB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系统由发射机、接收机、传感器、数据处理平台及辅助设备组成。</w:t>
      </w:r>
    </w:p>
    <w:p w14:paraId="7057559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8" w:name="_Toc230353276"/>
      <w:bookmarkStart w:id="9" w:name="_Toc20393"/>
      <w:r>
        <w:rPr>
          <w:rFonts w:ascii="黑体" w:eastAsia="黑体" w:hAnsi="黑体" w:cs="黑体" w:hint="eastAsia"/>
          <w:b/>
          <w:bCs/>
          <w:sz w:val="24"/>
        </w:rPr>
        <w:t>4.1 SEP系统发射机</w:t>
      </w:r>
      <w:bookmarkEnd w:id="8"/>
      <w:bookmarkEnd w:id="9"/>
    </w:p>
    <w:p w14:paraId="617A6EC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发射机是SEP的人工源电磁法（CSAMT、TEM、IP）的激励源，是激发一次场的重要手段，从而确保能够获得携带地层信息的二次场信号，是人工源电磁测深的核心子系统。可发射时间域、频率域和伪随机时序脉冲信号。</w:t>
      </w:r>
    </w:p>
    <w:p w14:paraId="30F86657"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lastRenderedPageBreak/>
        <w:t>4.1.1  SEP</w:t>
      </w:r>
      <w:proofErr w:type="gramEnd"/>
      <w:r>
        <w:rPr>
          <w:rStyle w:val="CharChar"/>
          <w:rFonts w:hint="default"/>
          <w:color w:val="000000"/>
          <w:sz w:val="24"/>
          <w:szCs w:val="24"/>
        </w:rPr>
        <w:t>系统发射机主体宜包括高功率开关电源（常为全桥或软开关拓扑）、大电流输出级（低阻抗接地电极接口）、</w:t>
      </w:r>
      <w:r>
        <w:rPr>
          <w:rStyle w:val="CharChar"/>
          <w:rFonts w:hint="default"/>
          <w:color w:val="000000"/>
          <w:sz w:val="24"/>
          <w:szCs w:val="24"/>
        </w:rPr>
        <w:t>‌</w:t>
      </w:r>
      <w:r>
        <w:rPr>
          <w:rStyle w:val="CharChar"/>
          <w:rFonts w:hint="default"/>
          <w:color w:val="000000"/>
          <w:sz w:val="24"/>
          <w:szCs w:val="24"/>
        </w:rPr>
        <w:t>DSP+FPGA主控系统</w:t>
      </w:r>
      <w:r>
        <w:rPr>
          <w:rStyle w:val="CharChar"/>
          <w:rFonts w:hint="default"/>
          <w:color w:val="000000"/>
          <w:sz w:val="24"/>
          <w:szCs w:val="24"/>
        </w:rPr>
        <w:t>‌</w:t>
      </w:r>
      <w:r>
        <w:rPr>
          <w:rStyle w:val="CharChar"/>
          <w:rFonts w:hint="default"/>
          <w:color w:val="000000"/>
          <w:sz w:val="24"/>
          <w:szCs w:val="24"/>
        </w:rPr>
        <w:t>（实现波形生成、闭环反馈、PWM调制）、</w:t>
      </w:r>
      <w:r>
        <w:rPr>
          <w:rStyle w:val="CharChar"/>
          <w:rFonts w:hint="default"/>
          <w:color w:val="000000"/>
          <w:sz w:val="24"/>
          <w:szCs w:val="24"/>
        </w:rPr>
        <w:t>‌</w:t>
      </w:r>
      <w:r>
        <w:rPr>
          <w:rStyle w:val="CharChar"/>
          <w:rFonts w:hint="default"/>
          <w:color w:val="000000"/>
          <w:sz w:val="24"/>
          <w:szCs w:val="24"/>
        </w:rPr>
        <w:t>GPS/本地双模授时模块</w:t>
      </w:r>
      <w:r>
        <w:rPr>
          <w:rStyle w:val="CharChar"/>
          <w:rFonts w:hint="default"/>
          <w:color w:val="000000"/>
          <w:sz w:val="24"/>
          <w:szCs w:val="24"/>
        </w:rPr>
        <w:t>‌</w:t>
      </w:r>
      <w:r>
        <w:rPr>
          <w:rStyle w:val="CharChar"/>
          <w:rFonts w:hint="default"/>
          <w:color w:val="000000"/>
          <w:sz w:val="24"/>
          <w:szCs w:val="24"/>
        </w:rPr>
        <w:t>（确保与接收机纳秒级同步）、嵌入式监控与人机交互（如LabVIEW上位机）。</w:t>
      </w:r>
    </w:p>
    <w:p w14:paraId="447AEB3A"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4.1.2  SEP</w:t>
      </w:r>
      <w:proofErr w:type="gramEnd"/>
      <w:r>
        <w:rPr>
          <w:rStyle w:val="CharChar"/>
          <w:rFonts w:hint="default"/>
          <w:color w:val="000000"/>
          <w:sz w:val="24"/>
          <w:szCs w:val="24"/>
        </w:rPr>
        <w:t>系统发射机控制盒；包括控制芯片、无线控制架构，采用C/S（客户机/服务器）模式，</w:t>
      </w:r>
      <w:proofErr w:type="spellStart"/>
      <w:r>
        <w:rPr>
          <w:rStyle w:val="CharChar"/>
          <w:rFonts w:hint="default"/>
          <w:color w:val="000000"/>
          <w:sz w:val="24"/>
          <w:szCs w:val="24"/>
        </w:rPr>
        <w:t>WiFi</w:t>
      </w:r>
      <w:proofErr w:type="spellEnd"/>
      <w:r>
        <w:rPr>
          <w:rStyle w:val="CharChar"/>
          <w:rFonts w:hint="default"/>
          <w:color w:val="000000"/>
          <w:sz w:val="24"/>
          <w:szCs w:val="24"/>
        </w:rPr>
        <w:t>模块作为模拟无线接入点（SOFTAP），通过TCP/IP协议与控制终端实现数据交换，实现对发射机的精确控制。</w:t>
      </w:r>
    </w:p>
    <w:p w14:paraId="3A9EDED2"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0" w:name="_Toc230353277"/>
      <w:proofErr w:type="gramStart"/>
      <w:r>
        <w:rPr>
          <w:rFonts w:ascii="黑体" w:eastAsia="黑体" w:hAnsi="黑体" w:cs="黑体" w:hint="eastAsia"/>
          <w:b/>
          <w:bCs/>
          <w:sz w:val="24"/>
        </w:rPr>
        <w:t>4.2  SEP</w:t>
      </w:r>
      <w:proofErr w:type="gramEnd"/>
      <w:r>
        <w:rPr>
          <w:rFonts w:ascii="黑体" w:eastAsia="黑体" w:hAnsi="黑体" w:cs="黑体" w:hint="eastAsia"/>
          <w:b/>
          <w:bCs/>
          <w:sz w:val="24"/>
        </w:rPr>
        <w:t>系统接收机</w:t>
      </w:r>
      <w:bookmarkEnd w:id="10"/>
    </w:p>
    <w:p w14:paraId="7BD6F47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SEP数据采集系统功能是将被测对象的各种参量通过相应的传感器转换为模拟电信号，再将模拟电信号经过信号调理、采样、量化、编码、传输等步骤，送入计算机系统进行数据存储与处理的过程。SEP数据采集系统主要包括低噪声放大电路、差分放大电路、程控增益放大器、时钟的同步控制电路等。</w:t>
      </w:r>
    </w:p>
    <w:p w14:paraId="006D0200"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4.2.1 SEP接收系统内定标模块，产生标定信号并通过闭合标定回路实现设备系统响应的精确测量，对系统进行定标，在采集站内部实现标定过程控制和标定数据的处理，定标结果不仅反映采集站运行情况，还可以反映采集站的质量以及采集站的特性，反馈到主控进行显示和管理。</w:t>
      </w:r>
    </w:p>
    <w:p w14:paraId="70F27737"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4.2.2 SEP接收系统主控单元模块，是系统控制与管理的核心，由嵌入式计算平台、时序控制器和通信接口单元构成，分为硬件系统和软件系统两个部分。</w:t>
      </w:r>
    </w:p>
    <w:p w14:paraId="20D4622F" w14:textId="77777777" w:rsidR="00CD47A0" w:rsidRDefault="00CD47A0">
      <w:pPr>
        <w:pStyle w:val="af5"/>
        <w:ind w:firstLine="480"/>
        <w:rPr>
          <w:rStyle w:val="CharChar"/>
          <w:rFonts w:hint="default"/>
          <w:color w:val="000000"/>
          <w:sz w:val="24"/>
          <w:szCs w:val="24"/>
        </w:rPr>
      </w:pPr>
    </w:p>
    <w:p w14:paraId="0EC764FE"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1" w:name="_Toc230353278"/>
      <w:r>
        <w:rPr>
          <w:rFonts w:ascii="黑体" w:eastAsia="黑体" w:hAnsi="黑体" w:cs="黑体" w:hint="eastAsia"/>
          <w:b/>
          <w:bCs/>
          <w:sz w:val="24"/>
        </w:rPr>
        <w:t>4.3 SEP系统传感器</w:t>
      </w:r>
      <w:bookmarkEnd w:id="11"/>
    </w:p>
    <w:p w14:paraId="127A156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包括低噪声磁场传感器和宽频带电场传感器，采用磁通负反馈结构增强稳定性，斩波稳零放大电路降低低频噪声，高磁导率合金材料提升灵敏度，用于地球物理电磁勘探。低噪声磁场传感器的核心技术指标主要包括频带范围（工作频率）、噪声水平（分辨率）、灵敏度（频率响应）、动态范围、功耗、物理与环境适应性等指标。</w:t>
      </w:r>
    </w:p>
    <w:p w14:paraId="7094D66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4.3.1 SEP系统低噪声磁场传感器：包括磁通负反馈电路、斩波稳零放大电路、高磁导率磁芯（如坡莫合金）结构等部分，用于减少外部干扰对测量结果的影响、提升传感器在低频段的灵敏度。</w:t>
      </w:r>
    </w:p>
    <w:p w14:paraId="18F32004" w14:textId="77777777" w:rsidR="00CD47A0" w:rsidRDefault="00000000">
      <w:pPr>
        <w:widowControl/>
        <w:spacing w:before="96" w:after="96" w:line="360" w:lineRule="auto"/>
        <w:ind w:leftChars="200" w:left="420" w:firstLineChars="0" w:firstLine="0"/>
        <w:jc w:val="left"/>
        <w:rPr>
          <w:rFonts w:ascii="Segoe UI" w:eastAsia="宋体" w:hAnsi="Segoe UI" w:cs="Segoe UI"/>
          <w:color w:val="060A26"/>
          <w:sz w:val="19"/>
          <w:szCs w:val="19"/>
          <w:shd w:val="clear" w:color="auto" w:fill="FFFFFF"/>
        </w:rPr>
      </w:pPr>
      <w:proofErr w:type="gramStart"/>
      <w:r>
        <w:rPr>
          <w:rStyle w:val="CharChar"/>
          <w:rFonts w:cs="Times New Roman" w:hint="default"/>
          <w:color w:val="000000"/>
          <w:sz w:val="24"/>
        </w:rPr>
        <w:lastRenderedPageBreak/>
        <w:t>4.3.2  SEP</w:t>
      </w:r>
      <w:proofErr w:type="gramEnd"/>
      <w:r>
        <w:rPr>
          <w:rStyle w:val="CharChar"/>
          <w:rFonts w:cs="Times New Roman" w:hint="default"/>
          <w:color w:val="000000"/>
          <w:sz w:val="24"/>
        </w:rPr>
        <w:t>系统电场传感器应满足工作频带、噪声水平、输入阻抗、稳定性和环境适应性等要求，其技术指标应与所采用的电磁方法和技术设计相适应。</w:t>
      </w:r>
    </w:p>
    <w:p w14:paraId="421FFC37" w14:textId="77777777" w:rsidR="00CD47A0" w:rsidRDefault="00000000">
      <w:pPr>
        <w:pStyle w:val="af5"/>
        <w:rPr>
          <w:rStyle w:val="CharChar"/>
          <w:rFonts w:hint="default"/>
          <w:color w:val="000000"/>
        </w:rPr>
      </w:pPr>
      <w:r>
        <w:rPr>
          <w:rStyle w:val="CharChar"/>
          <w:rFonts w:hint="default"/>
          <w:color w:val="000000"/>
        </w:rPr>
        <w:t xml:space="preserve"> </w:t>
      </w:r>
    </w:p>
    <w:p w14:paraId="601B9DC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2" w:name="_Toc230353279"/>
      <w:r>
        <w:rPr>
          <w:rFonts w:ascii="黑体" w:eastAsia="黑体" w:hAnsi="黑体" w:cs="黑体" w:hint="eastAsia"/>
          <w:b/>
          <w:bCs/>
          <w:sz w:val="24"/>
        </w:rPr>
        <w:t>4.4 SEP系统处理平台</w:t>
      </w:r>
      <w:bookmarkEnd w:id="12"/>
    </w:p>
    <w:p w14:paraId="1E7FAB7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SEP数据处理平台是对观测数据进行质量检查、预处理、处理、正演模拟、反演和成果管理的软件系统。平台应保留处理参数和过程记录，并支持约定的数据格式。</w:t>
      </w:r>
    </w:p>
    <w:p w14:paraId="22E0B59D" w14:textId="77777777" w:rsidR="00CD47A0" w:rsidRDefault="00CD47A0">
      <w:pPr>
        <w:pStyle w:val="af5"/>
        <w:rPr>
          <w:rStyle w:val="CharChar"/>
          <w:rFonts w:hint="default"/>
          <w:color w:val="000000"/>
        </w:rPr>
      </w:pPr>
    </w:p>
    <w:p w14:paraId="21A41E48"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3" w:name="_Toc230353280"/>
      <w:bookmarkStart w:id="14" w:name="_Toc8130"/>
      <w:proofErr w:type="gramStart"/>
      <w:r>
        <w:rPr>
          <w:rFonts w:ascii="黑体" w:eastAsia="黑体" w:hAnsi="黑体" w:cs="黑体" w:hint="eastAsia"/>
          <w:b/>
          <w:bCs/>
          <w:sz w:val="24"/>
        </w:rPr>
        <w:t>4.5  SEP</w:t>
      </w:r>
      <w:proofErr w:type="gramEnd"/>
      <w:r>
        <w:rPr>
          <w:rFonts w:ascii="黑体" w:eastAsia="黑体" w:hAnsi="黑体" w:cs="黑体" w:hint="eastAsia"/>
          <w:b/>
          <w:bCs/>
          <w:sz w:val="24"/>
        </w:rPr>
        <w:t>系统指标</w:t>
      </w:r>
      <w:bookmarkEnd w:id="13"/>
    </w:p>
    <w:p w14:paraId="302A6641" w14:textId="77777777" w:rsidR="00CD47A0" w:rsidRDefault="00000000">
      <w:pPr>
        <w:pStyle w:val="af5"/>
        <w:rPr>
          <w:rStyle w:val="CharChar"/>
          <w:rFonts w:hint="default"/>
          <w:color w:val="000000"/>
        </w:rPr>
      </w:pPr>
      <w:r>
        <w:rPr>
          <w:rStyle w:val="CharChar"/>
          <w:rFonts w:hint="default"/>
          <w:color w:val="000000"/>
        </w:rPr>
        <w:t>SEP接收机的主要技术指标见表2。</w:t>
      </w:r>
    </w:p>
    <w:p w14:paraId="65A1AAFF" w14:textId="77777777" w:rsidR="00CD47A0" w:rsidRDefault="00000000">
      <w:pPr>
        <w:pStyle w:val="af5"/>
        <w:rPr>
          <w:rStyle w:val="CharChar"/>
          <w:rFonts w:ascii="黑体" w:eastAsia="黑体" w:hAnsi="黑体" w:cs="黑体" w:hint="default"/>
          <w:color w:val="000000"/>
        </w:rPr>
      </w:pPr>
      <w:r>
        <w:rPr>
          <w:rFonts w:hint="eastAsia"/>
        </w:rPr>
        <w:t>表</w:t>
      </w:r>
      <w:proofErr w:type="gramStart"/>
      <w:r>
        <w:rPr>
          <w:rFonts w:hint="eastAsia"/>
        </w:rPr>
        <w:t>2  SEP</w:t>
      </w:r>
      <w:proofErr w:type="gramEnd"/>
      <w:r>
        <w:rPr>
          <w:rFonts w:hint="eastAsia"/>
        </w:rPr>
        <w:t>接收机主要技术指标</w:t>
      </w:r>
    </w:p>
    <w:tbl>
      <w:tblPr>
        <w:tblW w:w="7225" w:type="dxa"/>
        <w:jc w:val="center"/>
        <w:tblLayout w:type="fixed"/>
        <w:tblCellMar>
          <w:left w:w="0" w:type="dxa"/>
          <w:right w:w="0" w:type="dxa"/>
        </w:tblCellMar>
        <w:tblLook w:val="04A0" w:firstRow="1" w:lastRow="0" w:firstColumn="1" w:lastColumn="0" w:noHBand="0" w:noVBand="1"/>
      </w:tblPr>
      <w:tblGrid>
        <w:gridCol w:w="3063"/>
        <w:gridCol w:w="4162"/>
      </w:tblGrid>
      <w:tr w:rsidR="00CD47A0" w14:paraId="5E4345DE" w14:textId="77777777">
        <w:trPr>
          <w:trHeight w:val="361"/>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0629DB3F"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指标</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0ECCB4DD"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SEP接收机</w:t>
            </w:r>
          </w:p>
        </w:tc>
      </w:tr>
      <w:tr w:rsidR="00CD47A0" w14:paraId="684DFC00" w14:textId="77777777">
        <w:trPr>
          <w:trHeight w:val="361"/>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55DC4FB5"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支持功能</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7FEAA878"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MT/AMT、CSAMT</w:t>
            </w:r>
          </w:p>
        </w:tc>
      </w:tr>
      <w:tr w:rsidR="00CD47A0" w14:paraId="1B148364" w14:textId="77777777">
        <w:trPr>
          <w:trHeight w:val="305"/>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12C9884F"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通道数量</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587EFF49"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12</w:t>
            </w:r>
          </w:p>
        </w:tc>
      </w:tr>
      <w:tr w:rsidR="00CD47A0" w14:paraId="0F7B5A17" w14:textId="77777777">
        <w:trPr>
          <w:trHeight w:val="324"/>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7D014E12"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采样位数</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361CF1F7"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24bit</w:t>
            </w:r>
          </w:p>
        </w:tc>
      </w:tr>
      <w:tr w:rsidR="00CD47A0" w14:paraId="679973D7" w14:textId="77777777">
        <w:trPr>
          <w:trHeight w:val="324"/>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0A3BD12B"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采样率</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33D40390"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24Ksps</w:t>
            </w:r>
          </w:p>
        </w:tc>
      </w:tr>
      <w:tr w:rsidR="00CD47A0" w14:paraId="657BEE85" w14:textId="77777777">
        <w:trPr>
          <w:trHeight w:val="361"/>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04FDF8B8"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带宽</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1E3B56C1"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10KHz</w:t>
            </w:r>
          </w:p>
        </w:tc>
      </w:tr>
      <w:tr w:rsidR="00CD47A0" w14:paraId="378A5560" w14:textId="77777777">
        <w:trPr>
          <w:trHeight w:val="380"/>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5E7A5E4C"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动态范围</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17807EBA"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120dB</w:t>
            </w:r>
          </w:p>
        </w:tc>
      </w:tr>
      <w:tr w:rsidR="00CD47A0" w14:paraId="54BAFEE6" w14:textId="77777777">
        <w:trPr>
          <w:trHeight w:val="267"/>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50FA195E"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噪声水平</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25AC0EA8"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2uV</w:t>
            </w:r>
          </w:p>
        </w:tc>
      </w:tr>
      <w:tr w:rsidR="00CD47A0" w14:paraId="44F2B2D9" w14:textId="77777777">
        <w:trPr>
          <w:trHeight w:val="230"/>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24D19C6A"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工频抑制比</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186A66B3"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大于130dB</w:t>
            </w:r>
          </w:p>
        </w:tc>
      </w:tr>
      <w:tr w:rsidR="00CD47A0" w14:paraId="5CFCCC3D" w14:textId="77777777">
        <w:trPr>
          <w:trHeight w:val="267"/>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2DC41629"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道间串音抑制</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5692E8E0"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&gt;100dB</w:t>
            </w:r>
          </w:p>
        </w:tc>
      </w:tr>
      <w:tr w:rsidR="00CD47A0" w14:paraId="2B055766" w14:textId="77777777">
        <w:trPr>
          <w:trHeight w:val="212"/>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69342B75"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同步方式</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1174058B"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恒温晶振、GPS、原子钟</w:t>
            </w:r>
          </w:p>
        </w:tc>
      </w:tr>
      <w:tr w:rsidR="00CD47A0" w14:paraId="16C2EC35" w14:textId="77777777">
        <w:trPr>
          <w:trHeight w:val="211"/>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06F6BCD9"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控制方式</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42B78DAD"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WIFI</w:t>
            </w:r>
          </w:p>
        </w:tc>
      </w:tr>
      <w:tr w:rsidR="00CD47A0" w14:paraId="444C4552" w14:textId="77777777">
        <w:trPr>
          <w:trHeight w:val="174"/>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4EEC763C"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功耗</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tcPr>
          <w:p w14:paraId="6080B27D"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13W</w:t>
            </w:r>
          </w:p>
        </w:tc>
      </w:tr>
      <w:tr w:rsidR="00CD47A0" w14:paraId="69F9D846" w14:textId="77777777">
        <w:trPr>
          <w:trHeight w:val="230"/>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3D0C2172"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结构（mm）</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156BF745"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228×200×115</w:t>
            </w:r>
          </w:p>
        </w:tc>
      </w:tr>
      <w:tr w:rsidR="00CD47A0" w14:paraId="187A0202" w14:textId="77777777">
        <w:trPr>
          <w:trHeight w:val="283"/>
          <w:jc w:val="center"/>
        </w:trPr>
        <w:tc>
          <w:tcPr>
            <w:tcW w:w="3063" w:type="dxa"/>
            <w:tcBorders>
              <w:top w:val="single" w:sz="6" w:space="0" w:color="000000"/>
              <w:left w:val="single" w:sz="6" w:space="0" w:color="000000"/>
              <w:bottom w:val="single" w:sz="6" w:space="0" w:color="000000"/>
              <w:right w:val="single" w:sz="6" w:space="0" w:color="000000"/>
            </w:tcBorders>
            <w:tcMar>
              <w:left w:w="86" w:type="dxa"/>
              <w:right w:w="86" w:type="dxa"/>
            </w:tcMar>
          </w:tcPr>
          <w:p w14:paraId="30EAD6D6"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重量</w:t>
            </w:r>
          </w:p>
        </w:tc>
        <w:tc>
          <w:tcPr>
            <w:tcW w:w="4162" w:type="dxa"/>
            <w:tcBorders>
              <w:top w:val="single" w:sz="6" w:space="0" w:color="000000"/>
              <w:left w:val="single" w:sz="6" w:space="0" w:color="000000"/>
              <w:bottom w:val="single" w:sz="6" w:space="0" w:color="000000"/>
              <w:right w:val="single" w:sz="6" w:space="0" w:color="000000"/>
            </w:tcBorders>
            <w:tcMar>
              <w:left w:w="86" w:type="dxa"/>
              <w:right w:w="86" w:type="dxa"/>
            </w:tcMar>
            <w:vAlign w:val="center"/>
          </w:tcPr>
          <w:p w14:paraId="3C40AEAD" w14:textId="77777777" w:rsidR="00CD47A0" w:rsidRDefault="00000000">
            <w:pPr>
              <w:pStyle w:val="ae"/>
              <w:widowControl/>
              <w:adjustRightInd w:val="0"/>
              <w:snapToGrid w:val="0"/>
              <w:spacing w:line="360" w:lineRule="auto"/>
              <w:ind w:firstLine="420"/>
              <w:rPr>
                <w:rFonts w:asciiTheme="majorEastAsia" w:eastAsiaTheme="majorEastAsia" w:hAnsiTheme="majorEastAsia" w:cstheme="majorEastAsia" w:hint="eastAsia"/>
                <w:kern w:val="2"/>
                <w:sz w:val="21"/>
                <w:szCs w:val="21"/>
              </w:rPr>
            </w:pPr>
            <w:r>
              <w:rPr>
                <w:rFonts w:asciiTheme="majorEastAsia" w:eastAsiaTheme="majorEastAsia" w:hAnsiTheme="majorEastAsia" w:cstheme="majorEastAsia"/>
                <w:kern w:val="2"/>
                <w:sz w:val="21"/>
                <w:szCs w:val="21"/>
              </w:rPr>
              <w:t>3kg</w:t>
            </w:r>
          </w:p>
        </w:tc>
      </w:tr>
    </w:tbl>
    <w:p w14:paraId="1BABD46E" w14:textId="77777777" w:rsidR="00CD47A0" w:rsidRDefault="00CD47A0">
      <w:pPr>
        <w:pStyle w:val="af5"/>
        <w:ind w:firstLine="480"/>
        <w:rPr>
          <w:rStyle w:val="CharChar"/>
          <w:rFonts w:hint="default"/>
          <w:color w:val="000000"/>
          <w:sz w:val="24"/>
          <w:szCs w:val="24"/>
        </w:rPr>
      </w:pPr>
      <w:bookmarkStart w:id="15" w:name="_Toc28072"/>
      <w:bookmarkEnd w:id="14"/>
    </w:p>
    <w:p w14:paraId="2A01414D"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6" w:name="_Toc230353281"/>
      <w:proofErr w:type="gramStart"/>
      <w:r>
        <w:rPr>
          <w:rFonts w:ascii="黑体" w:eastAsia="黑体" w:hAnsi="黑体" w:cs="黑体" w:hint="eastAsia"/>
          <w:b/>
          <w:bCs/>
          <w:sz w:val="24"/>
        </w:rPr>
        <w:t>5  一般技术要求</w:t>
      </w:r>
      <w:bookmarkEnd w:id="16"/>
      <w:proofErr w:type="gramEnd"/>
    </w:p>
    <w:p w14:paraId="0D32E97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7" w:name="_Toc230353282"/>
      <w:r>
        <w:rPr>
          <w:rFonts w:ascii="黑体" w:eastAsia="黑体" w:hAnsi="黑体" w:cs="黑体" w:hint="eastAsia"/>
          <w:b/>
          <w:bCs/>
          <w:sz w:val="24"/>
        </w:rPr>
        <w:t>5.1基本要求</w:t>
      </w:r>
      <w:bookmarkEnd w:id="17"/>
    </w:p>
    <w:p w14:paraId="75322595" w14:textId="77777777" w:rsidR="00CD47A0" w:rsidRDefault="00000000">
      <w:pPr>
        <w:pStyle w:val="ZDYZ-"/>
        <w:ind w:right="105" w:firstLine="480"/>
        <w:rPr>
          <w:rStyle w:val="CharChar"/>
          <w:rFonts w:cs="Times New Roman" w:hint="default"/>
          <w:color w:val="000000"/>
          <w:sz w:val="24"/>
        </w:rPr>
      </w:pPr>
      <w:proofErr w:type="gramStart"/>
      <w:r>
        <w:rPr>
          <w:rStyle w:val="CharChar"/>
          <w:rFonts w:cs="Times New Roman" w:hint="default"/>
          <w:color w:val="000000"/>
          <w:sz w:val="24"/>
        </w:rPr>
        <w:lastRenderedPageBreak/>
        <w:t>5.1.1  仪器设备的主要性能指标应符合所采用电磁方法的技术标准和技术设计要求</w:t>
      </w:r>
      <w:proofErr w:type="gramEnd"/>
      <w:r>
        <w:rPr>
          <w:rStyle w:val="CharChar"/>
          <w:rFonts w:cs="Times New Roman" w:hint="default"/>
          <w:color w:val="000000"/>
          <w:sz w:val="24"/>
        </w:rPr>
        <w:t>；不符合要求的仪器设备不应投入生产。</w:t>
      </w:r>
    </w:p>
    <w:p w14:paraId="1FD8B24D" w14:textId="77777777" w:rsidR="00CD47A0" w:rsidRDefault="00000000">
      <w:pPr>
        <w:pStyle w:val="ZDYZ-"/>
        <w:ind w:right="105" w:firstLine="480"/>
        <w:rPr>
          <w:rStyle w:val="CharChar"/>
          <w:rFonts w:cs="Times New Roman" w:hint="default"/>
          <w:color w:val="000000"/>
          <w:sz w:val="24"/>
        </w:rPr>
      </w:pPr>
      <w:proofErr w:type="gramStart"/>
      <w:r>
        <w:rPr>
          <w:rStyle w:val="CharChar"/>
          <w:rFonts w:cs="Times New Roman" w:hint="default"/>
          <w:color w:val="000000"/>
          <w:sz w:val="24"/>
        </w:rPr>
        <w:t>5.1.2  应为仪器设备建立档案</w:t>
      </w:r>
      <w:proofErr w:type="gramEnd"/>
      <w:r>
        <w:rPr>
          <w:rStyle w:val="CharChar"/>
          <w:rFonts w:cs="Times New Roman" w:hint="default"/>
          <w:color w:val="000000"/>
          <w:sz w:val="24"/>
        </w:rPr>
        <w:t>，记录设备标识、检定或校准、维护、故障及处理、软件或固件版本等信息，确保设备状态可追溯。</w:t>
      </w:r>
    </w:p>
    <w:p w14:paraId="573D0079" w14:textId="77777777" w:rsidR="00CD47A0" w:rsidRDefault="00000000">
      <w:pPr>
        <w:pStyle w:val="ZDYZ-"/>
        <w:ind w:right="105" w:firstLine="480"/>
        <w:rPr>
          <w:rStyle w:val="CharChar"/>
          <w:rFonts w:cs="Times New Roman" w:hint="default"/>
          <w:color w:val="000000"/>
          <w:sz w:val="24"/>
        </w:rPr>
      </w:pPr>
      <w:proofErr w:type="gramStart"/>
      <w:r>
        <w:rPr>
          <w:rStyle w:val="CharChar"/>
          <w:rFonts w:cs="Times New Roman" w:hint="default"/>
          <w:color w:val="000000"/>
          <w:sz w:val="24"/>
        </w:rPr>
        <w:t>5.1.3  仪器</w:t>
      </w:r>
      <w:proofErr w:type="gramEnd"/>
      <w:r>
        <w:rPr>
          <w:rStyle w:val="CharChar"/>
          <w:rFonts w:cs="Times New Roman" w:hint="default"/>
          <w:color w:val="000000"/>
          <w:sz w:val="24"/>
        </w:rPr>
        <w:t>、仪表不得长期放在超过50</w:t>
      </w:r>
      <w:r>
        <w:rPr>
          <w:rStyle w:val="CharChar"/>
          <w:rFonts w:cs="Times New Roman" w:hint="default"/>
          <w:color w:val="000000"/>
          <w:sz w:val="24"/>
        </w:rPr>
        <w:t>℃</w:t>
      </w:r>
      <w:r>
        <w:rPr>
          <w:rStyle w:val="CharChar"/>
          <w:rFonts w:cs="Times New Roman" w:hint="default"/>
          <w:color w:val="000000"/>
          <w:sz w:val="24"/>
        </w:rPr>
        <w:t>高温和低于零下30</w:t>
      </w:r>
      <w:r>
        <w:rPr>
          <w:rStyle w:val="CharChar"/>
          <w:rFonts w:cs="Times New Roman" w:hint="default"/>
          <w:color w:val="000000"/>
          <w:sz w:val="24"/>
        </w:rPr>
        <w:t>℃</w:t>
      </w:r>
      <w:r>
        <w:rPr>
          <w:rStyle w:val="CharChar"/>
          <w:rFonts w:cs="Times New Roman" w:hint="default"/>
          <w:color w:val="000000"/>
          <w:sz w:val="24"/>
        </w:rPr>
        <w:t>的环境中，必须保存在阴凉、通风、干燥、无腐蚀气体、无强磁场、强干扰源的地方。使用时要保持仪器清洁、干燥、防潮、防震、防尘、防曝晒。</w:t>
      </w:r>
    </w:p>
    <w:p w14:paraId="5A480D41"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8" w:name="_Toc230353283"/>
      <w:r>
        <w:rPr>
          <w:rFonts w:ascii="黑体" w:eastAsia="黑体" w:hAnsi="黑体" w:cs="黑体" w:hint="eastAsia"/>
          <w:b/>
          <w:bCs/>
          <w:sz w:val="24"/>
        </w:rPr>
        <w:t>5.2 检测与标定</w:t>
      </w:r>
      <w:bookmarkEnd w:id="18"/>
    </w:p>
    <w:p w14:paraId="193154A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5.2.1 每次勘探之前，检测野外工作所有设备，确保仪器工作正常。对所有接收机进行标定，储存标定文件。</w:t>
      </w:r>
    </w:p>
    <w:p w14:paraId="14893C93"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5.2.2  施工前应对同型号接收机进行一致性对比试验</w:t>
      </w:r>
      <w:proofErr w:type="gramEnd"/>
      <w:r>
        <w:rPr>
          <w:rStyle w:val="CharChar"/>
          <w:rFonts w:hint="default"/>
          <w:color w:val="000000"/>
          <w:sz w:val="24"/>
          <w:szCs w:val="24"/>
        </w:rPr>
        <w:t>。一致性评价的参数、频段、统计方法和允许误差应在技术设计中规定，并与7.7.2的要求一致。</w:t>
      </w:r>
    </w:p>
    <w:p w14:paraId="6FE585D4"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19" w:name="_Toc230353284"/>
      <w:r>
        <w:rPr>
          <w:rFonts w:ascii="黑体" w:eastAsia="黑体" w:hAnsi="黑体" w:cs="黑体" w:hint="eastAsia"/>
          <w:b/>
          <w:bCs/>
          <w:sz w:val="24"/>
        </w:rPr>
        <w:t>5.3 使用与维护</w:t>
      </w:r>
      <w:bookmarkEnd w:id="19"/>
    </w:p>
    <w:p w14:paraId="534BF938"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5.3.1 接收机、磁传感器、不极化电极、电缆及配件等指定专人负责，严格按照说明书规定使用、维护和管理。</w:t>
      </w:r>
    </w:p>
    <w:p w14:paraId="24A4C611"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5.3.2 仪器设备在搬运中必须轻拿轻放。长途运输时应取出仪器内电池，放入垫有泡沫或海绵的包装箱内，并由专人押运。</w:t>
      </w:r>
    </w:p>
    <w:p w14:paraId="604F4327"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5.3.3 仪器设备工作前必须检查各部分联机的电源、插头、插座是否牢靠；工作完毕后，各部旋钮、开关必须恢复初始状态或置于</w:t>
      </w:r>
      <w:r>
        <w:rPr>
          <w:rStyle w:val="CharChar"/>
          <w:rFonts w:cs="Times New Roman" w:hint="default"/>
          <w:color w:val="000000"/>
          <w:sz w:val="24"/>
        </w:rPr>
        <w:t>“</w:t>
      </w:r>
      <w:r>
        <w:rPr>
          <w:rStyle w:val="CharChar"/>
          <w:rFonts w:cs="Times New Roman" w:hint="default"/>
          <w:color w:val="000000"/>
          <w:sz w:val="24"/>
        </w:rPr>
        <w:t>关</w:t>
      </w:r>
      <w:r>
        <w:rPr>
          <w:rStyle w:val="CharChar"/>
          <w:rFonts w:cs="Times New Roman" w:hint="default"/>
          <w:color w:val="000000"/>
          <w:sz w:val="24"/>
        </w:rPr>
        <w:t>”</w:t>
      </w:r>
      <w:r>
        <w:rPr>
          <w:rStyle w:val="CharChar"/>
          <w:rFonts w:cs="Times New Roman" w:hint="default"/>
          <w:color w:val="000000"/>
          <w:sz w:val="24"/>
        </w:rPr>
        <w:t>或</w:t>
      </w:r>
      <w:r>
        <w:rPr>
          <w:rStyle w:val="CharChar"/>
          <w:rFonts w:cs="Times New Roman" w:hint="default"/>
          <w:color w:val="000000"/>
          <w:sz w:val="24"/>
        </w:rPr>
        <w:t>“</w:t>
      </w:r>
      <w:r>
        <w:rPr>
          <w:rStyle w:val="CharChar"/>
          <w:rFonts w:cs="Times New Roman" w:hint="default"/>
          <w:color w:val="000000"/>
          <w:sz w:val="24"/>
        </w:rPr>
        <w:t>0</w:t>
      </w:r>
      <w:r>
        <w:rPr>
          <w:rStyle w:val="CharChar"/>
          <w:rFonts w:cs="Times New Roman" w:hint="default"/>
          <w:color w:val="000000"/>
          <w:sz w:val="24"/>
        </w:rPr>
        <w:t>”</w:t>
      </w:r>
      <w:r>
        <w:rPr>
          <w:rStyle w:val="CharChar"/>
          <w:rFonts w:cs="Times New Roman" w:hint="default"/>
          <w:color w:val="000000"/>
          <w:sz w:val="24"/>
        </w:rPr>
        <w:t>的位置。</w:t>
      </w:r>
    </w:p>
    <w:p w14:paraId="5BD02C39"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5.3.4 每次开工前或收工后，对所有仪器设备必须进行一次全面检查、维护和校准。</w:t>
      </w:r>
    </w:p>
    <w:p w14:paraId="5C3D669D" w14:textId="77777777" w:rsidR="00CD47A0" w:rsidRDefault="00000000">
      <w:pPr>
        <w:pStyle w:val="ZDYZ-"/>
        <w:ind w:right="105" w:firstLine="480"/>
        <w:rPr>
          <w:rStyle w:val="CharChar"/>
          <w:rFonts w:cs="Times New Roman" w:hint="default"/>
          <w:color w:val="000000"/>
          <w:sz w:val="24"/>
        </w:rPr>
      </w:pPr>
      <w:r>
        <w:rPr>
          <w:rStyle w:val="CharChar"/>
          <w:rFonts w:cs="Times New Roman" w:hint="default"/>
          <w:color w:val="000000"/>
          <w:sz w:val="24"/>
        </w:rPr>
        <w:t>5.3.5 所有仪器设备在正常工作期间，除日常维护保养外，每日施工前后，应按照说明书要求对仪器性能进行检查。</w:t>
      </w:r>
    </w:p>
    <w:p w14:paraId="3A96820E" w14:textId="77777777" w:rsidR="00CD47A0" w:rsidRDefault="00000000">
      <w:pPr>
        <w:pStyle w:val="ZDYZ-"/>
        <w:ind w:right="105" w:firstLine="480"/>
        <w:rPr>
          <w:rStyle w:val="CharChar"/>
          <w:rFonts w:cs="Times New Roman" w:hint="default"/>
          <w:color w:val="000000"/>
          <w:sz w:val="24"/>
        </w:rPr>
      </w:pPr>
      <w:proofErr w:type="gramStart"/>
      <w:r>
        <w:rPr>
          <w:rStyle w:val="CharChar"/>
          <w:rFonts w:cs="Times New Roman" w:hint="default"/>
          <w:color w:val="000000"/>
          <w:sz w:val="24"/>
        </w:rPr>
        <w:t>5.3.6  非生产期间</w:t>
      </w:r>
      <w:proofErr w:type="gramEnd"/>
      <w:r>
        <w:rPr>
          <w:rStyle w:val="CharChar"/>
          <w:rFonts w:cs="Times New Roman" w:hint="default"/>
          <w:color w:val="000000"/>
          <w:sz w:val="24"/>
        </w:rPr>
        <w:t>，应按仪器说明书规定的周期进行通电检查和电池维护，并将检查、维护结果存入仪器档案。长期存放时，应按制造商要求取出或断开电池。</w:t>
      </w:r>
    </w:p>
    <w:p w14:paraId="3B0837F1" w14:textId="77777777" w:rsidR="00CD47A0" w:rsidRDefault="00000000">
      <w:pPr>
        <w:pStyle w:val="ZDYZ-"/>
        <w:ind w:right="105" w:firstLine="480"/>
        <w:rPr>
          <w:rStyle w:val="CharChar"/>
          <w:rFonts w:hint="default"/>
          <w:color w:val="000000"/>
          <w:sz w:val="24"/>
        </w:rPr>
      </w:pPr>
      <w:r>
        <w:rPr>
          <w:rStyle w:val="CharChar"/>
          <w:rFonts w:cs="Times New Roman" w:hint="default"/>
          <w:color w:val="000000"/>
          <w:sz w:val="24"/>
        </w:rPr>
        <w:t>5.3.7 仪器设备所配备的零部件、备件及工</w:t>
      </w:r>
      <w:r>
        <w:rPr>
          <w:rStyle w:val="CharChar"/>
          <w:rFonts w:hint="default"/>
          <w:color w:val="000000"/>
          <w:sz w:val="24"/>
        </w:rPr>
        <w:t>具要随仪器妥善保管，不得作其他使用。</w:t>
      </w:r>
    </w:p>
    <w:p w14:paraId="4556DEC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5.3.8 仪器设备发生故障要及时维修。</w:t>
      </w:r>
    </w:p>
    <w:p w14:paraId="30AC99E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5.3.9 接收电极应采用电化学性能稳定、极差变化小的固态不极化电极，电极放置在水中检测，电极电位差不超过2 mV。</w:t>
      </w:r>
    </w:p>
    <w:p w14:paraId="68985209"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5.3.10  接收电缆</w:t>
      </w:r>
      <w:proofErr w:type="gramEnd"/>
      <w:r>
        <w:rPr>
          <w:rStyle w:val="CharChar"/>
          <w:rFonts w:hint="default"/>
          <w:color w:val="000000"/>
          <w:sz w:val="24"/>
          <w:szCs w:val="24"/>
        </w:rPr>
        <w:t>（线）应选用内阻小、绝缘性好、轻便、强度高的多芯全铜导线，其内阻应小于</w:t>
      </w:r>
      <w:proofErr w:type="gramStart"/>
      <w:r>
        <w:rPr>
          <w:rStyle w:val="CharChar"/>
          <w:rFonts w:hint="default"/>
          <w:color w:val="000000"/>
          <w:sz w:val="24"/>
          <w:szCs w:val="24"/>
        </w:rPr>
        <w:t>8  /</w:t>
      </w:r>
      <w:proofErr w:type="gramEnd"/>
      <w:r>
        <w:rPr>
          <w:rStyle w:val="CharChar"/>
          <w:rFonts w:hint="default"/>
          <w:color w:val="000000"/>
          <w:sz w:val="24"/>
          <w:szCs w:val="24"/>
        </w:rPr>
        <w:t xml:space="preserve"> km。第一次使用前根据工作需要做好头尾标识，检查导电情况，便于野外工作时识别及使用。工作时收放线尽量避免拉扯导线。工作结束后应清理导线上的污垢，整理装箱待用。</w:t>
      </w:r>
    </w:p>
    <w:p w14:paraId="3690026E"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proofErr w:type="gramStart"/>
      <w:r>
        <w:rPr>
          <w:rFonts w:ascii="黑体" w:eastAsia="黑体" w:hAnsi="黑体" w:cs="黑体" w:hint="eastAsia"/>
          <w:b/>
          <w:bCs/>
          <w:sz w:val="24"/>
        </w:rPr>
        <w:t>6  使用与维护要求</w:t>
      </w:r>
      <w:proofErr w:type="gramEnd"/>
    </w:p>
    <w:p w14:paraId="4DBA03A9"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0" w:name="_Toc230353286"/>
      <w:r>
        <w:rPr>
          <w:rFonts w:ascii="黑体" w:eastAsia="黑体" w:hAnsi="黑体" w:cs="黑体" w:hint="eastAsia"/>
          <w:b/>
          <w:bCs/>
          <w:sz w:val="24"/>
        </w:rPr>
        <w:t>6.1 SEP系统使用流程</w:t>
      </w:r>
      <w:bookmarkEnd w:id="20"/>
    </w:p>
    <w:p w14:paraId="742B521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SEP设备的施工流程需要严格按照预定的计划进行，包括装备充电检测、发射源布设、采集站布设、磁传感器布放埋置、电传感器布放埋置、数据预处理、数据解释等步骤。</w:t>
      </w:r>
    </w:p>
    <w:p w14:paraId="3CF94B8B"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1" w:name="_Toc230353287"/>
      <w:r>
        <w:rPr>
          <w:rFonts w:ascii="黑体" w:eastAsia="黑体" w:hAnsi="黑体" w:cs="黑体" w:hint="eastAsia"/>
          <w:b/>
          <w:bCs/>
          <w:sz w:val="24"/>
        </w:rPr>
        <w:t>6.2 SEP仪器使用的基本要求</w:t>
      </w:r>
      <w:bookmarkEnd w:id="15"/>
      <w:bookmarkEnd w:id="21"/>
    </w:p>
    <w:p w14:paraId="42D3F1D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SEP仪器应按下面的基本要求进行使用：</w:t>
      </w:r>
    </w:p>
    <w:p w14:paraId="57F1462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按设计和试验结果，正确选择仪器功能；</w:t>
      </w:r>
    </w:p>
    <w:p w14:paraId="5E1D34D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同一勘探区多台仪器施工时，至少应在同一条测线上重复做试验；</w:t>
      </w:r>
    </w:p>
    <w:p w14:paraId="2180DA7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传感器的方位、水平度或垂直度、埋置方式及耦合状态应符合所采用方法的技术设计要求；</w:t>
      </w:r>
    </w:p>
    <w:p w14:paraId="6749260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原则上采集站连续采集天数不超过电池最大供电天数的2/3；</w:t>
      </w:r>
    </w:p>
    <w:p w14:paraId="7C45840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数据采集中应有专人定时巡视采集站工作环境，如遇特殊噪音源或影响采集质量的其他情况应通知操作员停止施工 并立即处理，不能处理的应准确记录；</w:t>
      </w:r>
    </w:p>
    <w:p w14:paraId="11E61EE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f) 数据回收后应通过日检、GPS坐标位置拟合、时钟漂移等指标综合分析剔除坏道；</w:t>
      </w:r>
    </w:p>
    <w:p w14:paraId="443CB6E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g) 仪器录制的合格原始数据应备份，并按规定保存备用。</w:t>
      </w:r>
    </w:p>
    <w:p w14:paraId="6842534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2" w:name="_Toc230353288"/>
      <w:proofErr w:type="gramStart"/>
      <w:r>
        <w:rPr>
          <w:rFonts w:ascii="黑体" w:eastAsia="黑体" w:hAnsi="黑体" w:cs="黑体" w:hint="eastAsia"/>
          <w:b/>
          <w:bCs/>
          <w:sz w:val="24"/>
        </w:rPr>
        <w:t>7  野外施工</w:t>
      </w:r>
      <w:bookmarkEnd w:id="22"/>
      <w:proofErr w:type="gramEnd"/>
    </w:p>
    <w:p w14:paraId="53809E15"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3" w:name="_Toc230353289"/>
      <w:r>
        <w:rPr>
          <w:rFonts w:ascii="黑体" w:eastAsia="黑体" w:hAnsi="黑体" w:cs="黑体" w:hint="eastAsia"/>
          <w:b/>
          <w:bCs/>
          <w:sz w:val="24"/>
        </w:rPr>
        <w:t>7.1 电性参数测定</w:t>
      </w:r>
      <w:bookmarkEnd w:id="23"/>
    </w:p>
    <w:p w14:paraId="083D71A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为了解释需要，应有针对性地进行电性参数测定。根据实际情况采用露头法、标本法。每类岩（矿）石样品测定数量一般不少于30块，严格测定条件，保证数据质量。</w:t>
      </w:r>
    </w:p>
    <w:p w14:paraId="383F093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4" w:name="_Toc230353290"/>
      <w:r>
        <w:rPr>
          <w:rFonts w:ascii="黑体" w:eastAsia="黑体" w:hAnsi="黑体" w:cs="黑体" w:hint="eastAsia"/>
          <w:b/>
          <w:bCs/>
          <w:sz w:val="24"/>
        </w:rPr>
        <w:lastRenderedPageBreak/>
        <w:t>7.2 测地工作</w:t>
      </w:r>
      <w:bookmarkEnd w:id="24"/>
    </w:p>
    <w:p w14:paraId="65503C45"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7.2.1  测地工作应按</w:t>
      </w:r>
      <w:proofErr w:type="gramEnd"/>
      <w:r>
        <w:rPr>
          <w:rStyle w:val="CharChar"/>
          <w:rFonts w:hint="default"/>
          <w:color w:val="000000"/>
          <w:sz w:val="24"/>
          <w:szCs w:val="24"/>
        </w:rPr>
        <w:t>GB/T 18314</w:t>
      </w:r>
      <w:r>
        <w:rPr>
          <w:rStyle w:val="CharChar"/>
          <w:rFonts w:hint="default"/>
          <w:color w:val="000000"/>
          <w:sz w:val="24"/>
          <w:szCs w:val="24"/>
        </w:rPr>
        <w:t>—</w:t>
      </w:r>
      <w:r>
        <w:rPr>
          <w:rStyle w:val="CharChar"/>
          <w:rFonts w:hint="default"/>
          <w:color w:val="000000"/>
          <w:sz w:val="24"/>
          <w:szCs w:val="24"/>
        </w:rPr>
        <w:t>2024和DZ/T 0153</w:t>
      </w:r>
      <w:r>
        <w:rPr>
          <w:rStyle w:val="CharChar"/>
          <w:rFonts w:hint="default"/>
          <w:color w:val="000000"/>
          <w:sz w:val="24"/>
          <w:szCs w:val="24"/>
        </w:rPr>
        <w:t>—</w:t>
      </w:r>
      <w:r>
        <w:rPr>
          <w:rStyle w:val="CharChar"/>
          <w:rFonts w:hint="default"/>
          <w:color w:val="000000"/>
          <w:sz w:val="24"/>
          <w:szCs w:val="24"/>
        </w:rPr>
        <w:t>1995的规定执行。</w:t>
      </w:r>
    </w:p>
    <w:p w14:paraId="522507F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7.2.2 测点应埋设木桩，桩上标明测点编号。</w:t>
      </w:r>
    </w:p>
    <w:p w14:paraId="71B08ECF"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7.2.3  测地精度和测点位置质量指标应根据工作比例尺</w:t>
      </w:r>
      <w:proofErr w:type="gramEnd"/>
      <w:r>
        <w:rPr>
          <w:rStyle w:val="CharChar"/>
          <w:rFonts w:hint="default"/>
          <w:color w:val="000000"/>
          <w:sz w:val="24"/>
          <w:szCs w:val="24"/>
        </w:rPr>
        <w:t>、点距、地形条件和解释需求在技术设计中规定。</w:t>
      </w:r>
    </w:p>
    <w:p w14:paraId="1D639EDA" w14:textId="77777777" w:rsidR="00CD47A0" w:rsidRDefault="00000000">
      <w:pPr>
        <w:adjustRightInd w:val="0"/>
        <w:snapToGrid w:val="0"/>
        <w:spacing w:beforeLines="50" w:before="156" w:line="360" w:lineRule="auto"/>
        <w:ind w:firstLine="480"/>
        <w:jc w:val="center"/>
        <w:rPr>
          <w:rFonts w:ascii="黑体" w:eastAsia="黑体" w:hAnsi="黑体" w:cs="黑体" w:hint="eastAsia"/>
          <w:bCs/>
          <w:sz w:val="24"/>
        </w:rPr>
      </w:pPr>
      <w:r>
        <w:rPr>
          <w:rFonts w:ascii="黑体" w:eastAsia="黑体" w:hAnsi="黑体" w:cs="黑体" w:hint="eastAsia"/>
          <w:bCs/>
          <w:sz w:val="24"/>
        </w:rPr>
        <w:t>表</w:t>
      </w:r>
      <w:proofErr w:type="gramStart"/>
      <w:r>
        <w:rPr>
          <w:rFonts w:ascii="黑体" w:eastAsia="黑体" w:hAnsi="黑体" w:cs="黑体" w:hint="eastAsia"/>
          <w:bCs/>
          <w:sz w:val="24"/>
        </w:rPr>
        <w:t>3  测地质量分级表</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920"/>
        <w:gridCol w:w="712"/>
        <w:gridCol w:w="1588"/>
        <w:gridCol w:w="1700"/>
        <w:gridCol w:w="951"/>
        <w:gridCol w:w="1071"/>
        <w:gridCol w:w="1189"/>
      </w:tblGrid>
      <w:tr w:rsidR="00CD47A0" w14:paraId="5F8F01A2" w14:textId="77777777">
        <w:trPr>
          <w:jc w:val="center"/>
        </w:trPr>
        <w:tc>
          <w:tcPr>
            <w:tcW w:w="617" w:type="dxa"/>
            <w:vMerge w:val="restart"/>
            <w:vAlign w:val="center"/>
          </w:tcPr>
          <w:p w14:paraId="11D1CA38" w14:textId="77777777" w:rsidR="00CD47A0" w:rsidRDefault="00CD47A0">
            <w:pPr>
              <w:adjustRightInd w:val="0"/>
              <w:snapToGrid w:val="0"/>
              <w:spacing w:line="360" w:lineRule="auto"/>
              <w:ind w:firstLineChars="0" w:firstLine="0"/>
              <w:jc w:val="center"/>
              <w:rPr>
                <w:sz w:val="24"/>
              </w:rPr>
            </w:pPr>
          </w:p>
          <w:p w14:paraId="38478296" w14:textId="77777777" w:rsidR="00CD47A0" w:rsidRDefault="00000000">
            <w:pPr>
              <w:adjustRightInd w:val="0"/>
              <w:snapToGrid w:val="0"/>
              <w:spacing w:line="360" w:lineRule="auto"/>
              <w:ind w:firstLineChars="0" w:firstLine="0"/>
              <w:jc w:val="center"/>
              <w:rPr>
                <w:sz w:val="24"/>
              </w:rPr>
            </w:pPr>
            <w:r>
              <w:rPr>
                <w:sz w:val="24"/>
              </w:rPr>
              <w:t>级别</w:t>
            </w:r>
          </w:p>
        </w:tc>
        <w:tc>
          <w:tcPr>
            <w:tcW w:w="920" w:type="dxa"/>
            <w:vMerge w:val="restart"/>
            <w:vAlign w:val="center"/>
          </w:tcPr>
          <w:p w14:paraId="2A698FD5" w14:textId="77777777" w:rsidR="00CD47A0" w:rsidRDefault="00000000">
            <w:pPr>
              <w:adjustRightInd w:val="0"/>
              <w:snapToGrid w:val="0"/>
              <w:spacing w:line="360" w:lineRule="auto"/>
              <w:ind w:firstLineChars="0" w:firstLine="0"/>
              <w:jc w:val="center"/>
              <w:rPr>
                <w:sz w:val="24"/>
              </w:rPr>
            </w:pPr>
            <w:r>
              <w:rPr>
                <w:sz w:val="24"/>
              </w:rPr>
              <w:t>平面点位限差</w:t>
            </w:r>
          </w:p>
          <w:p w14:paraId="2EBFA1F7" w14:textId="77777777" w:rsidR="00CD47A0" w:rsidRDefault="00000000">
            <w:pPr>
              <w:adjustRightInd w:val="0"/>
              <w:snapToGrid w:val="0"/>
              <w:spacing w:line="360" w:lineRule="auto"/>
              <w:ind w:firstLineChars="0" w:firstLine="0"/>
              <w:jc w:val="center"/>
              <w:rPr>
                <w:sz w:val="24"/>
              </w:rPr>
            </w:pPr>
            <w:r>
              <w:rPr>
                <w:sz w:val="24"/>
              </w:rPr>
              <w:t>(mm)</w:t>
            </w:r>
          </w:p>
        </w:tc>
        <w:tc>
          <w:tcPr>
            <w:tcW w:w="2300" w:type="dxa"/>
            <w:gridSpan w:val="2"/>
            <w:vAlign w:val="center"/>
          </w:tcPr>
          <w:p w14:paraId="08B5546E" w14:textId="77777777" w:rsidR="00CD47A0" w:rsidRDefault="00000000">
            <w:pPr>
              <w:adjustRightInd w:val="0"/>
              <w:snapToGrid w:val="0"/>
              <w:spacing w:line="360" w:lineRule="auto"/>
              <w:ind w:firstLineChars="0" w:firstLine="0"/>
              <w:jc w:val="center"/>
              <w:rPr>
                <w:sz w:val="24"/>
              </w:rPr>
            </w:pPr>
            <w:r>
              <w:rPr>
                <w:sz w:val="24"/>
              </w:rPr>
              <w:t>剖面相邻点距误差（</w:t>
            </w:r>
            <w:r>
              <w:rPr>
                <w:sz w:val="24"/>
              </w:rPr>
              <w:t>%</w:t>
            </w:r>
            <w:r>
              <w:rPr>
                <w:sz w:val="24"/>
              </w:rPr>
              <w:t>）</w:t>
            </w:r>
          </w:p>
        </w:tc>
        <w:tc>
          <w:tcPr>
            <w:tcW w:w="3722" w:type="dxa"/>
            <w:gridSpan w:val="3"/>
            <w:vAlign w:val="center"/>
          </w:tcPr>
          <w:p w14:paraId="2F74AF51" w14:textId="77777777" w:rsidR="00CD47A0" w:rsidRDefault="00000000">
            <w:pPr>
              <w:adjustRightInd w:val="0"/>
              <w:snapToGrid w:val="0"/>
              <w:spacing w:line="360" w:lineRule="auto"/>
              <w:ind w:firstLineChars="0" w:firstLine="0"/>
              <w:jc w:val="center"/>
              <w:rPr>
                <w:sz w:val="24"/>
              </w:rPr>
            </w:pPr>
            <w:r>
              <w:rPr>
                <w:sz w:val="24"/>
              </w:rPr>
              <w:t>测深</w:t>
            </w:r>
          </w:p>
        </w:tc>
        <w:tc>
          <w:tcPr>
            <w:tcW w:w="1189" w:type="dxa"/>
            <w:vMerge w:val="restart"/>
            <w:vAlign w:val="center"/>
          </w:tcPr>
          <w:p w14:paraId="2A768879" w14:textId="77777777" w:rsidR="00CD47A0" w:rsidRDefault="00CD47A0">
            <w:pPr>
              <w:adjustRightInd w:val="0"/>
              <w:snapToGrid w:val="0"/>
              <w:spacing w:line="360" w:lineRule="auto"/>
              <w:ind w:firstLineChars="0" w:firstLine="0"/>
              <w:jc w:val="center"/>
              <w:rPr>
                <w:sz w:val="24"/>
              </w:rPr>
            </w:pPr>
          </w:p>
          <w:p w14:paraId="205E5FD4" w14:textId="77777777" w:rsidR="00CD47A0" w:rsidRDefault="00000000">
            <w:pPr>
              <w:adjustRightInd w:val="0"/>
              <w:snapToGrid w:val="0"/>
              <w:spacing w:line="360" w:lineRule="auto"/>
              <w:ind w:firstLineChars="0" w:firstLine="0"/>
              <w:jc w:val="center"/>
              <w:rPr>
                <w:sz w:val="24"/>
              </w:rPr>
            </w:pPr>
            <w:r>
              <w:rPr>
                <w:sz w:val="24"/>
              </w:rPr>
              <w:t>相对高程限差（</w:t>
            </w:r>
            <w:r>
              <w:rPr>
                <w:sz w:val="24"/>
              </w:rPr>
              <w:t>mm</w:t>
            </w:r>
            <w:r>
              <w:rPr>
                <w:sz w:val="24"/>
              </w:rPr>
              <w:t>）</w:t>
            </w:r>
          </w:p>
        </w:tc>
      </w:tr>
      <w:tr w:rsidR="00CD47A0" w14:paraId="3D8FDE39" w14:textId="77777777">
        <w:trPr>
          <w:jc w:val="center"/>
        </w:trPr>
        <w:tc>
          <w:tcPr>
            <w:tcW w:w="617" w:type="dxa"/>
            <w:vMerge/>
            <w:vAlign w:val="center"/>
          </w:tcPr>
          <w:p w14:paraId="0C3E97D8" w14:textId="77777777" w:rsidR="00CD47A0" w:rsidRDefault="00CD47A0">
            <w:pPr>
              <w:adjustRightInd w:val="0"/>
              <w:snapToGrid w:val="0"/>
              <w:spacing w:line="360" w:lineRule="auto"/>
              <w:ind w:firstLineChars="0" w:firstLine="0"/>
              <w:jc w:val="center"/>
              <w:rPr>
                <w:sz w:val="24"/>
              </w:rPr>
            </w:pPr>
          </w:p>
        </w:tc>
        <w:tc>
          <w:tcPr>
            <w:tcW w:w="920" w:type="dxa"/>
            <w:vMerge/>
            <w:vAlign w:val="center"/>
          </w:tcPr>
          <w:p w14:paraId="5853F3D6" w14:textId="77777777" w:rsidR="00CD47A0" w:rsidRDefault="00CD47A0">
            <w:pPr>
              <w:adjustRightInd w:val="0"/>
              <w:snapToGrid w:val="0"/>
              <w:spacing w:line="360" w:lineRule="auto"/>
              <w:ind w:firstLineChars="0" w:firstLine="0"/>
              <w:jc w:val="center"/>
              <w:rPr>
                <w:sz w:val="24"/>
              </w:rPr>
            </w:pPr>
          </w:p>
        </w:tc>
        <w:tc>
          <w:tcPr>
            <w:tcW w:w="712" w:type="dxa"/>
            <w:vAlign w:val="center"/>
          </w:tcPr>
          <w:p w14:paraId="27BE45B1" w14:textId="77777777" w:rsidR="00CD47A0" w:rsidRDefault="00000000">
            <w:pPr>
              <w:adjustRightInd w:val="0"/>
              <w:snapToGrid w:val="0"/>
              <w:spacing w:line="360" w:lineRule="auto"/>
              <w:ind w:firstLineChars="0" w:firstLine="0"/>
              <w:jc w:val="center"/>
              <w:rPr>
                <w:sz w:val="24"/>
              </w:rPr>
            </w:pPr>
            <w:r>
              <w:rPr>
                <w:sz w:val="24"/>
              </w:rPr>
              <w:t>限差</w:t>
            </w:r>
          </w:p>
        </w:tc>
        <w:tc>
          <w:tcPr>
            <w:tcW w:w="1588" w:type="dxa"/>
            <w:vAlign w:val="center"/>
          </w:tcPr>
          <w:p w14:paraId="49844ED3" w14:textId="77777777" w:rsidR="00CD47A0" w:rsidRDefault="00000000">
            <w:pPr>
              <w:adjustRightInd w:val="0"/>
              <w:snapToGrid w:val="0"/>
              <w:spacing w:line="360" w:lineRule="auto"/>
              <w:ind w:firstLineChars="0" w:firstLine="0"/>
              <w:jc w:val="center"/>
              <w:rPr>
                <w:sz w:val="24"/>
              </w:rPr>
            </w:pPr>
            <w:r>
              <w:rPr>
                <w:sz w:val="24"/>
              </w:rPr>
              <w:t>均方相对误差</w:t>
            </w:r>
          </w:p>
        </w:tc>
        <w:tc>
          <w:tcPr>
            <w:tcW w:w="1700" w:type="dxa"/>
            <w:vAlign w:val="center"/>
          </w:tcPr>
          <w:p w14:paraId="73D0BEFA" w14:textId="77777777" w:rsidR="00CD47A0" w:rsidRDefault="00000000">
            <w:pPr>
              <w:adjustRightInd w:val="0"/>
              <w:snapToGrid w:val="0"/>
              <w:spacing w:line="360" w:lineRule="auto"/>
              <w:ind w:firstLineChars="0" w:firstLine="0"/>
              <w:jc w:val="center"/>
              <w:rPr>
                <w:sz w:val="24"/>
              </w:rPr>
            </w:pPr>
            <w:r>
              <w:rPr>
                <w:sz w:val="24"/>
              </w:rPr>
              <w:t>点位均方相对误差</w:t>
            </w:r>
          </w:p>
          <w:p w14:paraId="2A3B8438" w14:textId="77777777" w:rsidR="00CD47A0" w:rsidRDefault="00000000">
            <w:pPr>
              <w:adjustRightInd w:val="0"/>
              <w:snapToGrid w:val="0"/>
              <w:spacing w:line="360" w:lineRule="auto"/>
              <w:ind w:firstLineChars="0" w:firstLine="0"/>
              <w:jc w:val="center"/>
              <w:rPr>
                <w:sz w:val="24"/>
              </w:rPr>
            </w:pPr>
            <w:r>
              <w:rPr>
                <w:sz w:val="24"/>
              </w:rPr>
              <w:t>（</w:t>
            </w:r>
            <w:r>
              <w:rPr>
                <w:sz w:val="24"/>
              </w:rPr>
              <w:t>%</w:t>
            </w:r>
            <w:r>
              <w:rPr>
                <w:sz w:val="24"/>
              </w:rPr>
              <w:t>）</w:t>
            </w:r>
          </w:p>
        </w:tc>
        <w:tc>
          <w:tcPr>
            <w:tcW w:w="951" w:type="dxa"/>
            <w:vAlign w:val="center"/>
          </w:tcPr>
          <w:p w14:paraId="484C1483" w14:textId="77777777" w:rsidR="00CD47A0" w:rsidRDefault="00000000">
            <w:pPr>
              <w:adjustRightInd w:val="0"/>
              <w:snapToGrid w:val="0"/>
              <w:spacing w:line="360" w:lineRule="auto"/>
              <w:ind w:firstLineChars="0" w:firstLine="0"/>
              <w:jc w:val="center"/>
              <w:rPr>
                <w:sz w:val="24"/>
              </w:rPr>
            </w:pPr>
            <w:r>
              <w:rPr>
                <w:sz w:val="24"/>
              </w:rPr>
              <w:t>测线方向</w:t>
            </w:r>
          </w:p>
        </w:tc>
        <w:tc>
          <w:tcPr>
            <w:tcW w:w="1071" w:type="dxa"/>
            <w:vAlign w:val="center"/>
          </w:tcPr>
          <w:p w14:paraId="29BBB9F6" w14:textId="77777777" w:rsidR="00CD47A0" w:rsidRDefault="00000000">
            <w:pPr>
              <w:adjustRightInd w:val="0"/>
              <w:snapToGrid w:val="0"/>
              <w:spacing w:line="360" w:lineRule="auto"/>
              <w:ind w:firstLineChars="0" w:firstLine="0"/>
              <w:jc w:val="center"/>
              <w:rPr>
                <w:sz w:val="24"/>
              </w:rPr>
            </w:pPr>
            <w:r>
              <w:rPr>
                <w:sz w:val="24"/>
              </w:rPr>
              <w:t>高程测量</w:t>
            </w:r>
          </w:p>
        </w:tc>
        <w:tc>
          <w:tcPr>
            <w:tcW w:w="1189" w:type="dxa"/>
            <w:vMerge/>
            <w:vAlign w:val="center"/>
          </w:tcPr>
          <w:p w14:paraId="21D9DA13" w14:textId="77777777" w:rsidR="00CD47A0" w:rsidRDefault="00CD47A0">
            <w:pPr>
              <w:adjustRightInd w:val="0"/>
              <w:snapToGrid w:val="0"/>
              <w:spacing w:line="360" w:lineRule="auto"/>
              <w:ind w:firstLineChars="0" w:firstLine="0"/>
              <w:jc w:val="center"/>
              <w:rPr>
                <w:sz w:val="24"/>
              </w:rPr>
            </w:pPr>
          </w:p>
        </w:tc>
      </w:tr>
      <w:tr w:rsidR="00CD47A0" w14:paraId="2E295817" w14:textId="77777777">
        <w:trPr>
          <w:trHeight w:val="224"/>
          <w:jc w:val="center"/>
        </w:trPr>
        <w:tc>
          <w:tcPr>
            <w:tcW w:w="617" w:type="dxa"/>
            <w:vAlign w:val="center"/>
          </w:tcPr>
          <w:p w14:paraId="534D09F2" w14:textId="77777777" w:rsidR="00CD47A0" w:rsidRDefault="00000000">
            <w:pPr>
              <w:adjustRightInd w:val="0"/>
              <w:snapToGrid w:val="0"/>
              <w:spacing w:line="360" w:lineRule="auto"/>
              <w:ind w:firstLineChars="0" w:firstLine="0"/>
              <w:jc w:val="center"/>
              <w:rPr>
                <w:sz w:val="24"/>
              </w:rPr>
            </w:pPr>
            <w:r>
              <w:rPr>
                <w:sz w:val="24"/>
              </w:rPr>
              <w:t>A</w:t>
            </w:r>
          </w:p>
        </w:tc>
        <w:tc>
          <w:tcPr>
            <w:tcW w:w="920" w:type="dxa"/>
            <w:vAlign w:val="center"/>
          </w:tcPr>
          <w:p w14:paraId="4D836F91" w14:textId="77777777" w:rsidR="00CD47A0" w:rsidRDefault="00000000">
            <w:pPr>
              <w:adjustRightInd w:val="0"/>
              <w:snapToGrid w:val="0"/>
              <w:spacing w:line="360" w:lineRule="auto"/>
              <w:ind w:firstLineChars="0" w:firstLine="0"/>
              <w:jc w:val="center"/>
              <w:rPr>
                <w:sz w:val="24"/>
              </w:rPr>
            </w:pPr>
            <w:r>
              <w:rPr>
                <w:sz w:val="24"/>
              </w:rPr>
              <w:t>2.0</w:t>
            </w:r>
          </w:p>
        </w:tc>
        <w:tc>
          <w:tcPr>
            <w:tcW w:w="712" w:type="dxa"/>
            <w:vAlign w:val="center"/>
          </w:tcPr>
          <w:p w14:paraId="465BE1AC" w14:textId="77777777" w:rsidR="00CD47A0" w:rsidRDefault="00000000">
            <w:pPr>
              <w:adjustRightInd w:val="0"/>
              <w:snapToGrid w:val="0"/>
              <w:spacing w:line="360" w:lineRule="auto"/>
              <w:ind w:firstLineChars="0" w:firstLine="0"/>
              <w:jc w:val="center"/>
              <w:rPr>
                <w:sz w:val="24"/>
              </w:rPr>
            </w:pPr>
            <w:r>
              <w:rPr>
                <w:sz w:val="24"/>
              </w:rPr>
              <w:t>6</w:t>
            </w:r>
          </w:p>
        </w:tc>
        <w:tc>
          <w:tcPr>
            <w:tcW w:w="1588" w:type="dxa"/>
            <w:vAlign w:val="center"/>
          </w:tcPr>
          <w:p w14:paraId="4DED4EB6" w14:textId="77777777" w:rsidR="00CD47A0" w:rsidRDefault="00000000">
            <w:pPr>
              <w:adjustRightInd w:val="0"/>
              <w:snapToGrid w:val="0"/>
              <w:spacing w:line="360" w:lineRule="auto"/>
              <w:ind w:firstLineChars="0" w:firstLine="0"/>
              <w:jc w:val="center"/>
              <w:rPr>
                <w:sz w:val="24"/>
              </w:rPr>
            </w:pPr>
            <w:r>
              <w:rPr>
                <w:sz w:val="24"/>
              </w:rPr>
              <w:t>3</w:t>
            </w:r>
          </w:p>
        </w:tc>
        <w:tc>
          <w:tcPr>
            <w:tcW w:w="1700" w:type="dxa"/>
            <w:vAlign w:val="center"/>
          </w:tcPr>
          <w:p w14:paraId="23F1840B" w14:textId="77777777" w:rsidR="00CD47A0" w:rsidRDefault="00000000">
            <w:pPr>
              <w:adjustRightInd w:val="0"/>
              <w:snapToGrid w:val="0"/>
              <w:spacing w:line="360" w:lineRule="auto"/>
              <w:ind w:firstLineChars="0" w:firstLine="0"/>
              <w:jc w:val="center"/>
              <w:rPr>
                <w:sz w:val="24"/>
              </w:rPr>
            </w:pPr>
            <w:r>
              <w:rPr>
                <w:sz w:val="24"/>
              </w:rPr>
              <w:t>3</w:t>
            </w:r>
          </w:p>
        </w:tc>
        <w:tc>
          <w:tcPr>
            <w:tcW w:w="951" w:type="dxa"/>
            <w:vAlign w:val="center"/>
          </w:tcPr>
          <w:p w14:paraId="0363715E" w14:textId="77777777" w:rsidR="00CD47A0" w:rsidRDefault="00000000">
            <w:pPr>
              <w:adjustRightInd w:val="0"/>
              <w:snapToGrid w:val="0"/>
              <w:spacing w:line="360" w:lineRule="auto"/>
              <w:ind w:firstLineChars="0" w:firstLine="0"/>
              <w:jc w:val="center"/>
              <w:rPr>
                <w:sz w:val="24"/>
              </w:rPr>
            </w:pPr>
            <w:r>
              <w:rPr>
                <w:sz w:val="24"/>
              </w:rPr>
              <w:t>5°</w:t>
            </w:r>
          </w:p>
        </w:tc>
        <w:tc>
          <w:tcPr>
            <w:tcW w:w="1071" w:type="dxa"/>
            <w:vAlign w:val="center"/>
          </w:tcPr>
          <w:p w14:paraId="1900CEAF" w14:textId="77777777" w:rsidR="00CD47A0" w:rsidRDefault="00000000">
            <w:pPr>
              <w:adjustRightInd w:val="0"/>
              <w:snapToGrid w:val="0"/>
              <w:spacing w:line="360" w:lineRule="auto"/>
              <w:ind w:firstLineChars="0" w:firstLine="0"/>
              <w:jc w:val="center"/>
              <w:rPr>
                <w:sz w:val="24"/>
              </w:rPr>
            </w:pPr>
            <w:r>
              <w:rPr>
                <w:sz w:val="24"/>
              </w:rPr>
              <w:t>V</w:t>
            </w:r>
          </w:p>
        </w:tc>
        <w:tc>
          <w:tcPr>
            <w:tcW w:w="1189" w:type="dxa"/>
            <w:vAlign w:val="center"/>
          </w:tcPr>
          <w:p w14:paraId="4F05D781" w14:textId="77777777" w:rsidR="00CD47A0" w:rsidRDefault="00000000">
            <w:pPr>
              <w:adjustRightInd w:val="0"/>
              <w:snapToGrid w:val="0"/>
              <w:spacing w:line="360" w:lineRule="auto"/>
              <w:ind w:firstLineChars="0" w:firstLine="0"/>
              <w:jc w:val="center"/>
              <w:rPr>
                <w:sz w:val="24"/>
              </w:rPr>
            </w:pPr>
            <w:r>
              <w:rPr>
                <w:sz w:val="24"/>
              </w:rPr>
              <w:t>2</w:t>
            </w:r>
          </w:p>
        </w:tc>
      </w:tr>
      <w:tr w:rsidR="00CD47A0" w14:paraId="7941E01F" w14:textId="77777777">
        <w:trPr>
          <w:jc w:val="center"/>
        </w:trPr>
        <w:tc>
          <w:tcPr>
            <w:tcW w:w="617" w:type="dxa"/>
            <w:vAlign w:val="center"/>
          </w:tcPr>
          <w:p w14:paraId="0325373C" w14:textId="77777777" w:rsidR="00CD47A0" w:rsidRDefault="00000000">
            <w:pPr>
              <w:adjustRightInd w:val="0"/>
              <w:snapToGrid w:val="0"/>
              <w:spacing w:line="360" w:lineRule="auto"/>
              <w:ind w:firstLineChars="0" w:firstLine="0"/>
              <w:jc w:val="center"/>
              <w:rPr>
                <w:sz w:val="24"/>
              </w:rPr>
            </w:pPr>
            <w:r>
              <w:rPr>
                <w:sz w:val="24"/>
              </w:rPr>
              <w:t>B</w:t>
            </w:r>
          </w:p>
        </w:tc>
        <w:tc>
          <w:tcPr>
            <w:tcW w:w="920" w:type="dxa"/>
            <w:vAlign w:val="center"/>
          </w:tcPr>
          <w:p w14:paraId="45C4BA36" w14:textId="77777777" w:rsidR="00CD47A0" w:rsidRDefault="00000000">
            <w:pPr>
              <w:adjustRightInd w:val="0"/>
              <w:snapToGrid w:val="0"/>
              <w:spacing w:line="360" w:lineRule="auto"/>
              <w:ind w:firstLineChars="0" w:firstLine="0"/>
              <w:jc w:val="center"/>
              <w:rPr>
                <w:sz w:val="24"/>
              </w:rPr>
            </w:pPr>
            <w:r>
              <w:rPr>
                <w:sz w:val="24"/>
              </w:rPr>
              <w:t>2.5</w:t>
            </w:r>
          </w:p>
        </w:tc>
        <w:tc>
          <w:tcPr>
            <w:tcW w:w="712" w:type="dxa"/>
            <w:vAlign w:val="center"/>
          </w:tcPr>
          <w:p w14:paraId="2728730D" w14:textId="77777777" w:rsidR="00CD47A0" w:rsidRDefault="00000000">
            <w:pPr>
              <w:adjustRightInd w:val="0"/>
              <w:snapToGrid w:val="0"/>
              <w:spacing w:line="360" w:lineRule="auto"/>
              <w:ind w:firstLineChars="0" w:firstLine="0"/>
              <w:jc w:val="center"/>
              <w:rPr>
                <w:sz w:val="24"/>
              </w:rPr>
            </w:pPr>
            <w:r>
              <w:rPr>
                <w:sz w:val="24"/>
              </w:rPr>
              <w:t>10</w:t>
            </w:r>
          </w:p>
        </w:tc>
        <w:tc>
          <w:tcPr>
            <w:tcW w:w="1588" w:type="dxa"/>
            <w:vAlign w:val="center"/>
          </w:tcPr>
          <w:p w14:paraId="55D28480" w14:textId="77777777" w:rsidR="00CD47A0" w:rsidRDefault="00000000">
            <w:pPr>
              <w:adjustRightInd w:val="0"/>
              <w:snapToGrid w:val="0"/>
              <w:spacing w:line="360" w:lineRule="auto"/>
              <w:ind w:firstLineChars="0" w:firstLine="0"/>
              <w:jc w:val="center"/>
              <w:rPr>
                <w:sz w:val="24"/>
              </w:rPr>
            </w:pPr>
            <w:r>
              <w:rPr>
                <w:sz w:val="24"/>
              </w:rPr>
              <w:t>5</w:t>
            </w:r>
          </w:p>
        </w:tc>
        <w:tc>
          <w:tcPr>
            <w:tcW w:w="1700" w:type="dxa"/>
            <w:vAlign w:val="center"/>
          </w:tcPr>
          <w:p w14:paraId="083206FC" w14:textId="77777777" w:rsidR="00CD47A0" w:rsidRDefault="00000000">
            <w:pPr>
              <w:adjustRightInd w:val="0"/>
              <w:snapToGrid w:val="0"/>
              <w:spacing w:line="360" w:lineRule="auto"/>
              <w:ind w:firstLineChars="0" w:firstLine="0"/>
              <w:jc w:val="center"/>
              <w:rPr>
                <w:sz w:val="24"/>
              </w:rPr>
            </w:pPr>
            <w:r>
              <w:rPr>
                <w:sz w:val="24"/>
              </w:rPr>
              <w:t>5</w:t>
            </w:r>
          </w:p>
        </w:tc>
        <w:tc>
          <w:tcPr>
            <w:tcW w:w="951" w:type="dxa"/>
            <w:vAlign w:val="center"/>
          </w:tcPr>
          <w:p w14:paraId="024294EB" w14:textId="77777777" w:rsidR="00CD47A0" w:rsidRDefault="00000000">
            <w:pPr>
              <w:adjustRightInd w:val="0"/>
              <w:snapToGrid w:val="0"/>
              <w:spacing w:line="360" w:lineRule="auto"/>
              <w:ind w:firstLineChars="0" w:firstLine="0"/>
              <w:jc w:val="center"/>
              <w:rPr>
                <w:sz w:val="24"/>
              </w:rPr>
            </w:pPr>
            <w:r>
              <w:rPr>
                <w:sz w:val="24"/>
              </w:rPr>
              <w:t>10°</w:t>
            </w:r>
          </w:p>
        </w:tc>
        <w:tc>
          <w:tcPr>
            <w:tcW w:w="1071" w:type="dxa"/>
            <w:vAlign w:val="center"/>
          </w:tcPr>
          <w:p w14:paraId="4F57A4A8" w14:textId="77777777" w:rsidR="00CD47A0" w:rsidRDefault="00000000">
            <w:pPr>
              <w:adjustRightInd w:val="0"/>
              <w:snapToGrid w:val="0"/>
              <w:spacing w:line="360" w:lineRule="auto"/>
              <w:ind w:firstLineChars="0" w:firstLine="0"/>
              <w:jc w:val="center"/>
              <w:rPr>
                <w:sz w:val="24"/>
              </w:rPr>
            </w:pPr>
            <w:r>
              <w:rPr>
                <w:sz w:val="24"/>
              </w:rPr>
              <w:t>V</w:t>
            </w:r>
          </w:p>
        </w:tc>
        <w:tc>
          <w:tcPr>
            <w:tcW w:w="1189" w:type="dxa"/>
            <w:vAlign w:val="center"/>
          </w:tcPr>
          <w:p w14:paraId="70549E18" w14:textId="77777777" w:rsidR="00CD47A0" w:rsidRDefault="00CD47A0">
            <w:pPr>
              <w:adjustRightInd w:val="0"/>
              <w:snapToGrid w:val="0"/>
              <w:spacing w:line="360" w:lineRule="auto"/>
              <w:ind w:firstLineChars="0" w:firstLine="0"/>
              <w:jc w:val="center"/>
              <w:rPr>
                <w:sz w:val="24"/>
              </w:rPr>
            </w:pPr>
          </w:p>
        </w:tc>
      </w:tr>
    </w:tbl>
    <w:p w14:paraId="6F400A8E" w14:textId="77777777" w:rsidR="00CD47A0" w:rsidRDefault="00CD47A0">
      <w:pPr>
        <w:adjustRightInd w:val="0"/>
        <w:snapToGrid w:val="0"/>
        <w:spacing w:line="360" w:lineRule="auto"/>
        <w:ind w:firstLine="480"/>
        <w:jc w:val="center"/>
        <w:rPr>
          <w:sz w:val="24"/>
        </w:rPr>
      </w:pPr>
    </w:p>
    <w:p w14:paraId="06E1EF3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5" w:name="_Toc230353291"/>
      <w:r>
        <w:rPr>
          <w:rFonts w:ascii="黑体" w:eastAsia="黑体" w:hAnsi="黑体" w:cs="黑体" w:hint="eastAsia"/>
          <w:b/>
          <w:bCs/>
          <w:sz w:val="24"/>
        </w:rPr>
        <w:t>7.3 测网布设</w:t>
      </w:r>
      <w:bookmarkEnd w:id="25"/>
    </w:p>
    <w:p w14:paraId="24A1B2D2" w14:textId="77777777" w:rsidR="00CD47A0" w:rsidRDefault="00CD47A0">
      <w:pPr>
        <w:pStyle w:val="af5"/>
        <w:ind w:firstLine="480"/>
        <w:rPr>
          <w:rStyle w:val="CharChar"/>
          <w:rFonts w:hint="default"/>
          <w:color w:val="000000"/>
          <w:sz w:val="24"/>
          <w:szCs w:val="24"/>
        </w:rPr>
      </w:pPr>
    </w:p>
    <w:p w14:paraId="6A55E679" w14:textId="77777777" w:rsidR="00CD47A0" w:rsidRDefault="00000000">
      <w:pPr>
        <w:pStyle w:val="af5"/>
        <w:ind w:firstLine="480"/>
        <w:rPr>
          <w:rStyle w:val="CharChar"/>
          <w:rFonts w:eastAsia="黑体" w:hint="default"/>
          <w:color w:val="000000"/>
          <w:sz w:val="24"/>
          <w:szCs w:val="24"/>
        </w:rPr>
      </w:pPr>
      <w:r>
        <w:rPr>
          <w:rStyle w:val="CharChar"/>
          <w:rFonts w:hint="default"/>
          <w:color w:val="000000"/>
          <w:sz w:val="24"/>
          <w:szCs w:val="24"/>
        </w:rPr>
        <w:t xml:space="preserve">7.3.1 </w:t>
      </w:r>
      <w:r>
        <w:rPr>
          <w:rFonts w:ascii="黑体" w:eastAsia="黑体" w:hAnsi="黑体" w:cs="黑体" w:hint="eastAsia"/>
          <w:b/>
          <w:bCs/>
          <w:sz w:val="24"/>
        </w:rPr>
        <w:t>测网布设一般要求</w:t>
      </w:r>
    </w:p>
    <w:p w14:paraId="7C77950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（1）按设计书布设测网。当测点位于陡崖、山顶、狭窄的深沟沟底、水体及建筑物内，可在设计点位附近调整，调整半径尽量在点距的10%范围内，最大调整距离不超过点距的二分之一。</w:t>
      </w:r>
    </w:p>
    <w:p w14:paraId="129D556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（2）小比例尺测量时，在有意义的异常上方及测量曲线失去连续性的测点附近加密测点或测线。</w:t>
      </w:r>
    </w:p>
    <w:p w14:paraId="38E165A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（3）测点尽量避开电磁干扰源，测点与干扰源的距离要求见表4。</w:t>
      </w:r>
    </w:p>
    <w:p w14:paraId="3A054B00" w14:textId="77777777" w:rsidR="00CD47A0" w:rsidRDefault="00000000">
      <w:pPr>
        <w:adjustRightInd w:val="0"/>
        <w:snapToGrid w:val="0"/>
        <w:spacing w:line="360" w:lineRule="auto"/>
        <w:ind w:firstLine="480"/>
        <w:jc w:val="center"/>
        <w:rPr>
          <w:rFonts w:ascii="黑体" w:eastAsia="黑体" w:hAnsi="黑体" w:cs="黑体" w:hint="eastAsia"/>
          <w:bCs/>
          <w:sz w:val="24"/>
        </w:rPr>
      </w:pPr>
      <w:r>
        <w:rPr>
          <w:rFonts w:ascii="黑体" w:eastAsia="黑体" w:hAnsi="黑体" w:cs="黑体" w:hint="eastAsia"/>
          <w:bCs/>
          <w:sz w:val="24"/>
        </w:rPr>
        <w:t>表4   测点与干扰源的距离要求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97"/>
        <w:gridCol w:w="2841"/>
      </w:tblGrid>
      <w:tr w:rsidR="00CD47A0" w14:paraId="0073C19C" w14:textId="77777777">
        <w:trPr>
          <w:jc w:val="center"/>
        </w:trPr>
        <w:tc>
          <w:tcPr>
            <w:tcW w:w="1384" w:type="dxa"/>
          </w:tcPr>
          <w:p w14:paraId="781B1397" w14:textId="77777777" w:rsidR="00CD47A0" w:rsidRDefault="00000000">
            <w:pPr>
              <w:adjustRightInd w:val="0"/>
              <w:snapToGrid w:val="0"/>
              <w:spacing w:line="360" w:lineRule="auto"/>
              <w:ind w:firstLine="480"/>
              <w:jc w:val="center"/>
              <w:rPr>
                <w:sz w:val="24"/>
              </w:rPr>
            </w:pPr>
            <w:r>
              <w:rPr>
                <w:sz w:val="24"/>
              </w:rPr>
              <w:t>序号</w:t>
            </w:r>
          </w:p>
        </w:tc>
        <w:tc>
          <w:tcPr>
            <w:tcW w:w="4297" w:type="dxa"/>
          </w:tcPr>
          <w:p w14:paraId="41CB8AD5" w14:textId="77777777" w:rsidR="00CD47A0" w:rsidRDefault="00000000">
            <w:pPr>
              <w:adjustRightInd w:val="0"/>
              <w:snapToGrid w:val="0"/>
              <w:spacing w:line="360" w:lineRule="auto"/>
              <w:ind w:firstLine="480"/>
              <w:jc w:val="center"/>
              <w:rPr>
                <w:sz w:val="24"/>
              </w:rPr>
            </w:pPr>
            <w:r>
              <w:rPr>
                <w:sz w:val="24"/>
              </w:rPr>
              <w:t>干扰源类型</w:t>
            </w:r>
          </w:p>
        </w:tc>
        <w:tc>
          <w:tcPr>
            <w:tcW w:w="2841" w:type="dxa"/>
          </w:tcPr>
          <w:p w14:paraId="3899D456" w14:textId="77777777" w:rsidR="00CD47A0" w:rsidRDefault="00000000">
            <w:pPr>
              <w:adjustRightInd w:val="0"/>
              <w:snapToGrid w:val="0"/>
              <w:spacing w:line="360" w:lineRule="auto"/>
              <w:ind w:firstLine="480"/>
              <w:jc w:val="center"/>
              <w:rPr>
                <w:sz w:val="24"/>
              </w:rPr>
            </w:pPr>
            <w:r>
              <w:rPr>
                <w:sz w:val="24"/>
              </w:rPr>
              <w:t>测点避开距离（</w:t>
            </w:r>
            <w:r>
              <w:rPr>
                <w:sz w:val="24"/>
              </w:rPr>
              <w:t>m</w:t>
            </w:r>
            <w:r>
              <w:rPr>
                <w:sz w:val="24"/>
              </w:rPr>
              <w:t>）</w:t>
            </w:r>
          </w:p>
        </w:tc>
      </w:tr>
      <w:tr w:rsidR="00CD47A0" w14:paraId="66C4F382" w14:textId="77777777">
        <w:trPr>
          <w:jc w:val="center"/>
        </w:trPr>
        <w:tc>
          <w:tcPr>
            <w:tcW w:w="1384" w:type="dxa"/>
          </w:tcPr>
          <w:p w14:paraId="73D73365" w14:textId="77777777" w:rsidR="00CD47A0" w:rsidRDefault="00000000">
            <w:pPr>
              <w:adjustRightInd w:val="0"/>
              <w:snapToGrid w:val="0"/>
              <w:spacing w:line="360" w:lineRule="auto"/>
              <w:ind w:firstLine="480"/>
              <w:jc w:val="center"/>
              <w:rPr>
                <w:sz w:val="24"/>
              </w:rPr>
            </w:pPr>
            <w:r>
              <w:rPr>
                <w:sz w:val="24"/>
              </w:rPr>
              <w:t>1</w:t>
            </w:r>
          </w:p>
        </w:tc>
        <w:tc>
          <w:tcPr>
            <w:tcW w:w="4297" w:type="dxa"/>
          </w:tcPr>
          <w:p w14:paraId="21DB8C9A" w14:textId="77777777" w:rsidR="00CD47A0" w:rsidRDefault="00000000">
            <w:pPr>
              <w:adjustRightInd w:val="0"/>
              <w:snapToGrid w:val="0"/>
              <w:spacing w:line="360" w:lineRule="auto"/>
              <w:ind w:firstLine="480"/>
              <w:jc w:val="center"/>
              <w:rPr>
                <w:sz w:val="24"/>
              </w:rPr>
            </w:pPr>
            <w:r>
              <w:rPr>
                <w:sz w:val="24"/>
              </w:rPr>
              <w:t>大的工厂、矿山、电气铁路、变电所</w:t>
            </w:r>
          </w:p>
        </w:tc>
        <w:tc>
          <w:tcPr>
            <w:tcW w:w="2841" w:type="dxa"/>
          </w:tcPr>
          <w:p w14:paraId="7EADA5F7" w14:textId="77777777" w:rsidR="00CD47A0" w:rsidRDefault="00000000">
            <w:pPr>
              <w:adjustRightInd w:val="0"/>
              <w:snapToGrid w:val="0"/>
              <w:spacing w:line="360" w:lineRule="auto"/>
              <w:ind w:firstLine="480"/>
              <w:jc w:val="center"/>
              <w:rPr>
                <w:sz w:val="24"/>
              </w:rPr>
            </w:pPr>
            <w:r>
              <w:rPr>
                <w:sz w:val="24"/>
              </w:rPr>
              <w:t>≥1000</w:t>
            </w:r>
          </w:p>
        </w:tc>
      </w:tr>
      <w:tr w:rsidR="00CD47A0" w14:paraId="451C72CF" w14:textId="77777777">
        <w:trPr>
          <w:jc w:val="center"/>
        </w:trPr>
        <w:tc>
          <w:tcPr>
            <w:tcW w:w="1384" w:type="dxa"/>
          </w:tcPr>
          <w:p w14:paraId="2CBEA8F4" w14:textId="77777777" w:rsidR="00CD47A0" w:rsidRDefault="00000000">
            <w:pPr>
              <w:adjustRightInd w:val="0"/>
              <w:snapToGrid w:val="0"/>
              <w:spacing w:line="360" w:lineRule="auto"/>
              <w:ind w:firstLine="480"/>
              <w:jc w:val="center"/>
              <w:rPr>
                <w:sz w:val="24"/>
              </w:rPr>
            </w:pPr>
            <w:r>
              <w:rPr>
                <w:sz w:val="24"/>
              </w:rPr>
              <w:t>2</w:t>
            </w:r>
          </w:p>
        </w:tc>
        <w:tc>
          <w:tcPr>
            <w:tcW w:w="4297" w:type="dxa"/>
          </w:tcPr>
          <w:p w14:paraId="2964739B" w14:textId="77777777" w:rsidR="00CD47A0" w:rsidRDefault="00000000">
            <w:pPr>
              <w:adjustRightInd w:val="0"/>
              <w:snapToGrid w:val="0"/>
              <w:spacing w:line="360" w:lineRule="auto"/>
              <w:ind w:firstLine="480"/>
              <w:jc w:val="center"/>
              <w:rPr>
                <w:sz w:val="24"/>
              </w:rPr>
            </w:pPr>
            <w:r>
              <w:rPr>
                <w:sz w:val="24"/>
              </w:rPr>
              <w:t>广播电站、雷达站</w:t>
            </w:r>
          </w:p>
        </w:tc>
        <w:tc>
          <w:tcPr>
            <w:tcW w:w="2841" w:type="dxa"/>
          </w:tcPr>
          <w:p w14:paraId="0DB3C86B" w14:textId="77777777" w:rsidR="00CD47A0" w:rsidRDefault="00000000">
            <w:pPr>
              <w:adjustRightInd w:val="0"/>
              <w:snapToGrid w:val="0"/>
              <w:spacing w:line="360" w:lineRule="auto"/>
              <w:ind w:firstLine="480"/>
              <w:jc w:val="center"/>
              <w:rPr>
                <w:sz w:val="24"/>
              </w:rPr>
            </w:pPr>
            <w:r>
              <w:rPr>
                <w:sz w:val="24"/>
              </w:rPr>
              <w:t>≥500</w:t>
            </w:r>
          </w:p>
        </w:tc>
      </w:tr>
      <w:tr w:rsidR="00CD47A0" w14:paraId="07CA2852" w14:textId="77777777">
        <w:trPr>
          <w:jc w:val="center"/>
        </w:trPr>
        <w:tc>
          <w:tcPr>
            <w:tcW w:w="1384" w:type="dxa"/>
          </w:tcPr>
          <w:p w14:paraId="6F6D430B" w14:textId="77777777" w:rsidR="00CD47A0" w:rsidRDefault="00000000">
            <w:pPr>
              <w:adjustRightInd w:val="0"/>
              <w:snapToGrid w:val="0"/>
              <w:spacing w:line="360" w:lineRule="auto"/>
              <w:ind w:firstLine="480"/>
              <w:jc w:val="center"/>
              <w:rPr>
                <w:sz w:val="24"/>
              </w:rPr>
            </w:pPr>
            <w:r>
              <w:rPr>
                <w:sz w:val="24"/>
              </w:rPr>
              <w:t>3</w:t>
            </w:r>
          </w:p>
        </w:tc>
        <w:tc>
          <w:tcPr>
            <w:tcW w:w="4297" w:type="dxa"/>
          </w:tcPr>
          <w:p w14:paraId="4DB1E0A6" w14:textId="77777777" w:rsidR="00CD47A0" w:rsidRDefault="00000000">
            <w:pPr>
              <w:adjustRightInd w:val="0"/>
              <w:snapToGrid w:val="0"/>
              <w:spacing w:line="360" w:lineRule="auto"/>
              <w:ind w:firstLine="480"/>
              <w:jc w:val="center"/>
              <w:rPr>
                <w:sz w:val="24"/>
              </w:rPr>
            </w:pPr>
            <w:r>
              <w:rPr>
                <w:sz w:val="24"/>
              </w:rPr>
              <w:t>高压电力线</w:t>
            </w:r>
          </w:p>
        </w:tc>
        <w:tc>
          <w:tcPr>
            <w:tcW w:w="2841" w:type="dxa"/>
          </w:tcPr>
          <w:p w14:paraId="3C04309F" w14:textId="77777777" w:rsidR="00CD47A0" w:rsidRDefault="00000000">
            <w:pPr>
              <w:adjustRightInd w:val="0"/>
              <w:snapToGrid w:val="0"/>
              <w:spacing w:line="360" w:lineRule="auto"/>
              <w:ind w:firstLine="480"/>
              <w:jc w:val="center"/>
              <w:rPr>
                <w:sz w:val="24"/>
              </w:rPr>
            </w:pPr>
            <w:r>
              <w:rPr>
                <w:sz w:val="24"/>
              </w:rPr>
              <w:t>≥500</w:t>
            </w:r>
          </w:p>
        </w:tc>
      </w:tr>
      <w:tr w:rsidR="00CD47A0" w14:paraId="7257BD30" w14:textId="77777777">
        <w:trPr>
          <w:jc w:val="center"/>
        </w:trPr>
        <w:tc>
          <w:tcPr>
            <w:tcW w:w="1384" w:type="dxa"/>
          </w:tcPr>
          <w:p w14:paraId="71797C1F" w14:textId="77777777" w:rsidR="00CD47A0" w:rsidRDefault="00000000">
            <w:pPr>
              <w:adjustRightInd w:val="0"/>
              <w:snapToGrid w:val="0"/>
              <w:spacing w:line="360" w:lineRule="auto"/>
              <w:ind w:firstLine="480"/>
              <w:jc w:val="center"/>
              <w:rPr>
                <w:sz w:val="24"/>
              </w:rPr>
            </w:pPr>
            <w:r>
              <w:rPr>
                <w:sz w:val="24"/>
              </w:rPr>
              <w:lastRenderedPageBreak/>
              <w:t>4</w:t>
            </w:r>
          </w:p>
        </w:tc>
        <w:tc>
          <w:tcPr>
            <w:tcW w:w="4297" w:type="dxa"/>
          </w:tcPr>
          <w:p w14:paraId="5C9BA327" w14:textId="77777777" w:rsidR="00CD47A0" w:rsidRDefault="00000000">
            <w:pPr>
              <w:adjustRightInd w:val="0"/>
              <w:snapToGrid w:val="0"/>
              <w:spacing w:line="360" w:lineRule="auto"/>
              <w:ind w:firstLine="480"/>
              <w:jc w:val="center"/>
              <w:rPr>
                <w:sz w:val="24"/>
              </w:rPr>
            </w:pPr>
            <w:r>
              <w:rPr>
                <w:sz w:val="24"/>
              </w:rPr>
              <w:t>繁忙的公路</w:t>
            </w:r>
          </w:p>
        </w:tc>
        <w:tc>
          <w:tcPr>
            <w:tcW w:w="2841" w:type="dxa"/>
          </w:tcPr>
          <w:p w14:paraId="59CEEC9A" w14:textId="77777777" w:rsidR="00CD47A0" w:rsidRDefault="00000000">
            <w:pPr>
              <w:adjustRightInd w:val="0"/>
              <w:snapToGrid w:val="0"/>
              <w:spacing w:line="360" w:lineRule="auto"/>
              <w:ind w:firstLine="480"/>
              <w:jc w:val="center"/>
              <w:rPr>
                <w:sz w:val="24"/>
              </w:rPr>
            </w:pPr>
            <w:r>
              <w:rPr>
                <w:sz w:val="24"/>
              </w:rPr>
              <w:t>≥200</w:t>
            </w:r>
          </w:p>
        </w:tc>
      </w:tr>
    </w:tbl>
    <w:p w14:paraId="2B01D433" w14:textId="77777777" w:rsidR="00CD47A0" w:rsidRDefault="00CD47A0">
      <w:pPr>
        <w:adjustRightInd w:val="0"/>
        <w:snapToGrid w:val="0"/>
        <w:spacing w:line="360" w:lineRule="auto"/>
        <w:ind w:firstLine="420"/>
      </w:pPr>
    </w:p>
    <w:p w14:paraId="00366273" w14:textId="77777777" w:rsidR="00CD47A0" w:rsidRDefault="00000000">
      <w:pPr>
        <w:pStyle w:val="af5"/>
        <w:ind w:firstLine="480"/>
        <w:rPr>
          <w:rStyle w:val="CharChar"/>
          <w:rFonts w:cstheme="minorBidi" w:hint="default"/>
          <w:color w:val="000000"/>
          <w:sz w:val="24"/>
          <w:szCs w:val="24"/>
        </w:rPr>
      </w:pPr>
      <w:r>
        <w:rPr>
          <w:rStyle w:val="CharChar"/>
          <w:rFonts w:hint="default"/>
          <w:color w:val="000000"/>
          <w:sz w:val="24"/>
          <w:szCs w:val="24"/>
        </w:rPr>
        <w:t>（4）大地电磁法、音频大地电磁法、可控源音频大地电磁法及其他方法的测网布设，应根据工作任务和技术设计，并符合相应方法标准的规定。</w:t>
      </w:r>
    </w:p>
    <w:p w14:paraId="416B98EA" w14:textId="77777777" w:rsidR="00CD47A0" w:rsidRDefault="00CD47A0">
      <w:pPr>
        <w:pStyle w:val="af5"/>
        <w:ind w:firstLine="480"/>
        <w:rPr>
          <w:rStyle w:val="CharChar"/>
          <w:rFonts w:hint="default"/>
          <w:color w:val="000000"/>
          <w:sz w:val="24"/>
          <w:szCs w:val="24"/>
        </w:rPr>
      </w:pPr>
    </w:p>
    <w:p w14:paraId="57D61942"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6" w:name="_Toc230353292"/>
      <w:r>
        <w:rPr>
          <w:rFonts w:ascii="黑体" w:eastAsia="黑体" w:hAnsi="黑体" w:cs="黑体" w:hint="eastAsia"/>
          <w:b/>
          <w:bCs/>
          <w:sz w:val="24"/>
        </w:rPr>
        <w:t>7.4 接收装置布设</w:t>
      </w:r>
      <w:bookmarkEnd w:id="26"/>
    </w:p>
    <w:p w14:paraId="4B93CF72" w14:textId="77777777" w:rsidR="00CD47A0" w:rsidRDefault="00000000">
      <w:pPr>
        <w:adjustRightInd w:val="0"/>
        <w:snapToGrid w:val="0"/>
        <w:spacing w:line="360" w:lineRule="auto"/>
        <w:ind w:firstLineChars="0" w:firstLine="0"/>
        <w:rPr>
          <w:rStyle w:val="CharChar"/>
          <w:rFonts w:cs="Times New Roman" w:hint="default"/>
          <w:color w:val="000000"/>
          <w:sz w:val="24"/>
        </w:rPr>
      </w:pPr>
      <w:r>
        <w:rPr>
          <w:rStyle w:val="CharChar"/>
          <w:rFonts w:cs="Times New Roman" w:hint="default"/>
          <w:color w:val="000000"/>
          <w:sz w:val="24"/>
        </w:rPr>
        <w:t>7.4.1 十字型装置</w:t>
      </w:r>
    </w:p>
    <w:p w14:paraId="008A136C" w14:textId="77777777" w:rsidR="00CD47A0" w:rsidRDefault="00000000">
      <w:pPr>
        <w:adjustRightInd w:val="0"/>
        <w:snapToGrid w:val="0"/>
        <w:spacing w:line="360" w:lineRule="auto"/>
        <w:ind w:firstLine="480"/>
        <w:rPr>
          <w:rStyle w:val="CharChar"/>
          <w:rFonts w:cs="Times New Roman" w:hint="default"/>
          <w:color w:val="000000"/>
          <w:sz w:val="24"/>
        </w:rPr>
      </w:pPr>
      <w:r>
        <w:rPr>
          <w:rStyle w:val="CharChar"/>
          <w:rFonts w:cs="Times New Roman" w:hint="default"/>
          <w:color w:val="000000"/>
          <w:sz w:val="24"/>
        </w:rPr>
        <w:t>示意图见图2。水平方向的两对电极和两磁传感器（以下简称磁棒）分别互相垂直敷设，其方位偏差不大于1</w:t>
      </w:r>
      <w:r>
        <w:rPr>
          <w:rStyle w:val="CharChar"/>
          <w:rFonts w:cs="Times New Roman" w:hint="default"/>
          <w:color w:val="000000"/>
          <w:sz w:val="24"/>
        </w:rPr>
        <w:t>°</w:t>
      </w:r>
      <w:r>
        <w:rPr>
          <w:rStyle w:val="CharChar"/>
          <w:rFonts w:cs="Times New Roman" w:hint="default"/>
          <w:color w:val="000000"/>
          <w:sz w:val="24"/>
        </w:rPr>
        <w:t>，水平磁棒顶端距中心点7m-10m。如两对电极和水平磁棒按正北（x）正东（y）向布置，垂直磁棒（z）则应安放在方位角225</w:t>
      </w:r>
      <w:r>
        <w:rPr>
          <w:rStyle w:val="CharChar"/>
          <w:rFonts w:cs="Times New Roman" w:hint="default"/>
          <w:color w:val="000000"/>
          <w:sz w:val="24"/>
        </w:rPr>
        <w:t>°</w:t>
      </w:r>
      <w:r>
        <w:rPr>
          <w:rStyle w:val="CharChar"/>
          <w:rFonts w:cs="Times New Roman" w:hint="default"/>
          <w:color w:val="000000"/>
          <w:sz w:val="24"/>
        </w:rPr>
        <w:t>，距测点中心应大于7m，但不超过10m的位置（图2）。如x方向不为正北，则按需要对十字装置进行旋转。</w:t>
      </w:r>
    </w:p>
    <w:p w14:paraId="4C17C2E4" w14:textId="77777777" w:rsidR="00CD47A0" w:rsidRDefault="00000000">
      <w:pPr>
        <w:adjustRightInd w:val="0"/>
        <w:snapToGrid w:val="0"/>
        <w:spacing w:line="360" w:lineRule="auto"/>
        <w:ind w:firstLine="480"/>
        <w:jc w:val="center"/>
        <w:rPr>
          <w:sz w:val="24"/>
        </w:rPr>
      </w:pPr>
      <w:r>
        <w:rPr>
          <w:noProof/>
          <w:sz w:val="24"/>
        </w:rPr>
        <w:drawing>
          <wp:inline distT="0" distB="0" distL="114300" distR="114300" wp14:anchorId="72D387F3" wp14:editId="3813624C">
            <wp:extent cx="1595755" cy="1572260"/>
            <wp:effectExtent l="0" t="0" r="4445" b="8890"/>
            <wp:docPr id="8" name="图片 3"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图2"/>
                    <pic:cNvPicPr>
                      <a:picLocks noChangeAspect="1"/>
                    </pic:cNvPicPr>
                  </pic:nvPicPr>
                  <pic:blipFill>
                    <a:blip r:embed="rId16"/>
                    <a:stretch>
                      <a:fillRect/>
                    </a:stretch>
                  </pic:blipFill>
                  <pic:spPr>
                    <a:xfrm>
                      <a:off x="0" y="0"/>
                      <a:ext cx="1595755" cy="1572260"/>
                    </a:xfrm>
                    <a:prstGeom prst="rect">
                      <a:avLst/>
                    </a:prstGeom>
                    <a:noFill/>
                    <a:ln>
                      <a:noFill/>
                    </a:ln>
                  </pic:spPr>
                </pic:pic>
              </a:graphicData>
            </a:graphic>
          </wp:inline>
        </w:drawing>
      </w:r>
    </w:p>
    <w:p w14:paraId="469C888F" w14:textId="77777777" w:rsidR="00CD47A0" w:rsidRDefault="00000000">
      <w:pPr>
        <w:adjustRightInd w:val="0"/>
        <w:snapToGrid w:val="0"/>
        <w:spacing w:line="360" w:lineRule="auto"/>
        <w:ind w:firstLine="480"/>
        <w:jc w:val="center"/>
        <w:rPr>
          <w:rFonts w:ascii="黑体" w:eastAsia="黑体" w:hAnsi="黑体" w:cs="黑体" w:hint="eastAsia"/>
          <w:sz w:val="24"/>
        </w:rPr>
      </w:pPr>
      <w:r>
        <w:rPr>
          <w:rFonts w:ascii="黑体" w:eastAsia="黑体" w:hAnsi="黑体" w:cs="黑体" w:hint="eastAsia"/>
          <w:sz w:val="24"/>
        </w:rPr>
        <w:t>图2 十字型布设示意图</w:t>
      </w:r>
    </w:p>
    <w:p w14:paraId="7E2FB22F"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7.4.2  T</w:t>
      </w:r>
      <w:proofErr w:type="gramEnd"/>
      <w:r>
        <w:rPr>
          <w:rStyle w:val="CharChar"/>
          <w:rFonts w:hint="default"/>
          <w:color w:val="000000"/>
          <w:sz w:val="24"/>
          <w:szCs w:val="24"/>
        </w:rPr>
        <w:t>型装置和L型装置</w:t>
      </w:r>
    </w:p>
    <w:p w14:paraId="06D3A5E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在施工中不适宜十字形敷设时，可采用L型（见图3）或T型装置（见图4）。</w:t>
      </w:r>
    </w:p>
    <w:p w14:paraId="0090F121" w14:textId="77777777" w:rsidR="00CD47A0" w:rsidRDefault="00000000">
      <w:pPr>
        <w:adjustRightInd w:val="0"/>
        <w:snapToGrid w:val="0"/>
        <w:spacing w:line="360" w:lineRule="auto"/>
        <w:ind w:firstLine="480"/>
        <w:jc w:val="center"/>
        <w:rPr>
          <w:sz w:val="24"/>
        </w:rPr>
      </w:pPr>
      <w:r>
        <w:rPr>
          <w:noProof/>
          <w:sz w:val="24"/>
        </w:rPr>
        <w:drawing>
          <wp:inline distT="0" distB="0" distL="114300" distR="114300" wp14:anchorId="5AAEE289" wp14:editId="02359550">
            <wp:extent cx="1618615" cy="1599565"/>
            <wp:effectExtent l="0" t="0" r="635" b="635"/>
            <wp:docPr id="9" name="图片 4"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图3"/>
                    <pic:cNvPicPr>
                      <a:picLocks noChangeAspect="1"/>
                    </pic:cNvPicPr>
                  </pic:nvPicPr>
                  <pic:blipFill>
                    <a:blip r:embed="rId17"/>
                    <a:stretch>
                      <a:fillRect/>
                    </a:stretch>
                  </pic:blipFill>
                  <pic:spPr>
                    <a:xfrm>
                      <a:off x="0" y="0"/>
                      <a:ext cx="1618615" cy="1599565"/>
                    </a:xfrm>
                    <a:prstGeom prst="rect">
                      <a:avLst/>
                    </a:prstGeom>
                    <a:noFill/>
                    <a:ln>
                      <a:noFill/>
                    </a:ln>
                  </pic:spPr>
                </pic:pic>
              </a:graphicData>
            </a:graphic>
          </wp:inline>
        </w:drawing>
      </w:r>
      <w:r>
        <w:rPr>
          <w:sz w:val="24"/>
        </w:rPr>
        <w:t xml:space="preserve"> </w:t>
      </w:r>
      <w:r>
        <w:rPr>
          <w:rFonts w:hint="eastAsia"/>
          <w:sz w:val="24"/>
        </w:rPr>
        <w:t xml:space="preserve">           </w:t>
      </w:r>
      <w:r>
        <w:rPr>
          <w:noProof/>
          <w:sz w:val="24"/>
        </w:rPr>
        <w:drawing>
          <wp:inline distT="0" distB="0" distL="114300" distR="114300" wp14:anchorId="5CADD4FC" wp14:editId="13D0A6DC">
            <wp:extent cx="1536065" cy="1686560"/>
            <wp:effectExtent l="0" t="0" r="6985" b="8890"/>
            <wp:docPr id="7" name="图片 5"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图4"/>
                    <pic:cNvPicPr>
                      <a:picLocks noChangeAspect="1"/>
                    </pic:cNvPicPr>
                  </pic:nvPicPr>
                  <pic:blipFill>
                    <a:blip r:embed="rId18"/>
                    <a:stretch>
                      <a:fillRect/>
                    </a:stretch>
                  </pic:blipFill>
                  <pic:spPr>
                    <a:xfrm>
                      <a:off x="0" y="0"/>
                      <a:ext cx="1536065" cy="1686560"/>
                    </a:xfrm>
                    <a:prstGeom prst="rect">
                      <a:avLst/>
                    </a:prstGeom>
                    <a:noFill/>
                    <a:ln>
                      <a:noFill/>
                    </a:ln>
                  </pic:spPr>
                </pic:pic>
              </a:graphicData>
            </a:graphic>
          </wp:inline>
        </w:drawing>
      </w:r>
    </w:p>
    <w:p w14:paraId="537F40C6" w14:textId="77777777" w:rsidR="00CD47A0" w:rsidRDefault="00000000">
      <w:pPr>
        <w:adjustRightInd w:val="0"/>
        <w:snapToGrid w:val="0"/>
        <w:spacing w:line="360" w:lineRule="auto"/>
        <w:ind w:firstLine="480"/>
        <w:jc w:val="center"/>
        <w:rPr>
          <w:sz w:val="24"/>
        </w:rPr>
      </w:pPr>
      <w:r>
        <w:rPr>
          <w:rFonts w:ascii="黑体" w:eastAsia="黑体" w:hAnsi="黑体" w:cs="黑体" w:hint="eastAsia"/>
          <w:sz w:val="24"/>
        </w:rPr>
        <w:t>图</w:t>
      </w:r>
      <w:proofErr w:type="gramStart"/>
      <w:r>
        <w:rPr>
          <w:rFonts w:ascii="黑体" w:eastAsia="黑体" w:hAnsi="黑体" w:cs="黑体" w:hint="eastAsia"/>
          <w:sz w:val="24"/>
        </w:rPr>
        <w:t>3  L</w:t>
      </w:r>
      <w:proofErr w:type="gramEnd"/>
      <w:r>
        <w:rPr>
          <w:rFonts w:ascii="黑体" w:eastAsia="黑体" w:hAnsi="黑体" w:cs="黑体" w:hint="eastAsia"/>
          <w:sz w:val="24"/>
        </w:rPr>
        <w:t>型布设示意图                      图</w:t>
      </w:r>
      <w:proofErr w:type="gramStart"/>
      <w:r>
        <w:rPr>
          <w:rFonts w:ascii="黑体" w:eastAsia="黑体" w:hAnsi="黑体" w:cs="黑体" w:hint="eastAsia"/>
          <w:sz w:val="24"/>
        </w:rPr>
        <w:t>4  T</w:t>
      </w:r>
      <w:proofErr w:type="gramEnd"/>
      <w:r>
        <w:rPr>
          <w:rFonts w:ascii="黑体" w:eastAsia="黑体" w:hAnsi="黑体" w:cs="黑体" w:hint="eastAsia"/>
          <w:sz w:val="24"/>
        </w:rPr>
        <w:t>型布设示意图</w:t>
      </w:r>
    </w:p>
    <w:p w14:paraId="53E4D834" w14:textId="77777777" w:rsidR="00CD47A0" w:rsidRDefault="00CD47A0">
      <w:pPr>
        <w:adjustRightInd w:val="0"/>
        <w:snapToGrid w:val="0"/>
        <w:spacing w:line="360" w:lineRule="auto"/>
        <w:ind w:firstLine="480"/>
        <w:jc w:val="center"/>
        <w:rPr>
          <w:sz w:val="24"/>
        </w:rPr>
      </w:pPr>
    </w:p>
    <w:p w14:paraId="0D4713E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7.4.3 观测前在测点布设磁棒、采集站、排列线等，并填写测点布设班报。</w:t>
      </w:r>
    </w:p>
    <w:p w14:paraId="7AD2D2D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7.4.4 为了保证足够大的信噪比，电极距一般不应小于40m，如测点周围地表起伏不平，应按实测水平距布极，极距误差应小于1%。</w:t>
      </w:r>
    </w:p>
    <w:p w14:paraId="04F05B9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7.4.5 电极不允许埋设在流水、污水或废石堆上；极坑内不得留有砾石和杂物，保证底部与土壤接触良好，并浇水压实，使接地电阻小于2 </w:t>
      </w:r>
      <w:proofErr w:type="spellStart"/>
      <w:r>
        <w:rPr>
          <w:rStyle w:val="CharChar"/>
          <w:rFonts w:hint="default"/>
          <w:color w:val="000000"/>
          <w:sz w:val="24"/>
          <w:szCs w:val="24"/>
        </w:rPr>
        <w:t>k</w:t>
      </w:r>
      <w:r>
        <w:rPr>
          <w:rStyle w:val="CharChar"/>
          <w:rFonts w:hint="default"/>
          <w:color w:val="000000"/>
          <w:sz w:val="24"/>
          <w:szCs w:val="24"/>
        </w:rPr>
        <w:t>Ω</w:t>
      </w:r>
      <w:proofErr w:type="spellEnd"/>
      <w:r>
        <w:rPr>
          <w:rStyle w:val="CharChar"/>
          <w:rFonts w:hint="default"/>
          <w:color w:val="000000"/>
          <w:sz w:val="24"/>
          <w:szCs w:val="24"/>
        </w:rPr>
        <w:t>。在沙漠、戈壁、高阻岩石露头区，应采用多电极并联，电极四周垫土，周围浇水来降低电阻。</w:t>
      </w:r>
    </w:p>
    <w:p w14:paraId="13F6EB6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7.4.6 当遇到人文设施（如人工导体、金属栏杆、管道、供电线路、无线电塔、钻井、道路等）时，测点应适当平移，以减小干扰。</w:t>
      </w:r>
    </w:p>
    <w:p w14:paraId="02B19AB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7.4.7 垂直磁棒应保证与地面垂直，入土深度为磁棒长度的1/2以上，上端用土埋实；水平探头的方位（x、y方向）应用森林罗盘定位，误差小于1</w:t>
      </w:r>
      <w:r>
        <w:rPr>
          <w:rStyle w:val="CharChar"/>
          <w:rFonts w:hint="default"/>
          <w:color w:val="000000"/>
          <w:sz w:val="24"/>
          <w:szCs w:val="24"/>
        </w:rPr>
        <w:t>°</w:t>
      </w:r>
      <w:r>
        <w:rPr>
          <w:rStyle w:val="CharChar"/>
          <w:rFonts w:hint="default"/>
          <w:color w:val="000000"/>
          <w:sz w:val="24"/>
          <w:szCs w:val="24"/>
        </w:rPr>
        <w:t>；用长度大于40cm的水平尺校准，保证水平；水平磁棒入土深度为30 cm。</w:t>
      </w:r>
    </w:p>
    <w:p w14:paraId="7288750E"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7.4.8  电极连线</w:t>
      </w:r>
      <w:proofErr w:type="gramEnd"/>
      <w:r>
        <w:rPr>
          <w:rStyle w:val="CharChar"/>
          <w:rFonts w:hint="default"/>
          <w:color w:val="000000"/>
          <w:sz w:val="24"/>
          <w:szCs w:val="24"/>
        </w:rPr>
        <w:t>、传感器连线及其他电缆宜避免长距离平行布设，不应悬空；应结合地形采取贴地固定等措施，减少导线晃动引起的干扰。</w:t>
      </w:r>
    </w:p>
    <w:p w14:paraId="77FF847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7.4.9电极和磁探头布设完毕后，检查电极、磁探头连接是否正确，连接点是否牢固及接地连通是否良好，MN线是否漏电。</w:t>
      </w:r>
    </w:p>
    <w:p w14:paraId="208A7745"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7" w:name="_Toc230353293"/>
      <w:r>
        <w:rPr>
          <w:rFonts w:ascii="黑体" w:eastAsia="黑体" w:hAnsi="黑体" w:cs="黑体" w:hint="eastAsia"/>
          <w:b/>
          <w:bCs/>
          <w:sz w:val="24"/>
        </w:rPr>
        <w:t>7.5 安全施工</w:t>
      </w:r>
      <w:bookmarkEnd w:id="27"/>
    </w:p>
    <w:p w14:paraId="7B0E4D0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7.5.1 在山区收、放导线经过高压线时，严禁抛抖导线或手持长物，以防高压触电。</w:t>
      </w:r>
    </w:p>
    <w:p w14:paraId="6EAE2A3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7.5.2 野外作业车辆应配备灭火器、急救箱等；野外人员应配齐可靠的通讯工具。</w:t>
      </w:r>
    </w:p>
    <w:p w14:paraId="2A97233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7.5.3 雷雨天气，应停止野外作业。突遇雷电，应迅速关机、断开连接仪器设备的所有电缆。</w:t>
      </w:r>
    </w:p>
    <w:p w14:paraId="032F436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7.5.4布线需要经过水域时，应保证过水安全；水上或冰上作业必须制定相应的安全制度和应急措施。</w:t>
      </w:r>
    </w:p>
    <w:p w14:paraId="4739D6BB"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8" w:name="_Toc230353294"/>
      <w:r>
        <w:rPr>
          <w:rFonts w:ascii="黑体" w:eastAsia="黑体" w:hAnsi="黑体" w:cs="黑体" w:hint="eastAsia"/>
          <w:b/>
          <w:bCs/>
          <w:sz w:val="24"/>
        </w:rPr>
        <w:t>7.6 试验工作</w:t>
      </w:r>
      <w:bookmarkEnd w:id="28"/>
    </w:p>
    <w:p w14:paraId="10EF97A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7.6.1 新区工前准备</w:t>
      </w:r>
    </w:p>
    <w:p w14:paraId="5298E83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在正式生产之前，应首先进行试验工作，并在设计中明确试验任务、方法技术及工作量。试验工作的要求及目的包括：</w:t>
      </w:r>
    </w:p>
    <w:p w14:paraId="4F11289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了解测区内已知矿体上的异常响应特征，包括异常强度、形态、范围、地质噪声及信噪比等；</w:t>
      </w:r>
    </w:p>
    <w:p w14:paraId="604F4C4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 xml:space="preserve">b) 查明外来电磁噪声水平及干扰特征； </w:t>
      </w:r>
    </w:p>
    <w:p w14:paraId="5D2DF95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确定合理的磁棒有效接收面积；</w:t>
      </w:r>
    </w:p>
    <w:p w14:paraId="47C3454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检查工作精度、测网密度等参数选择是否合理；</w:t>
      </w:r>
    </w:p>
    <w:p w14:paraId="2945003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确定适宜的观测时长。</w:t>
      </w:r>
    </w:p>
    <w:p w14:paraId="5725445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7.6.2 试验线选择</w:t>
      </w:r>
    </w:p>
    <w:p w14:paraId="4BBCD1E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试验线宜选择在具有已知地质或钻孔资料、且具有代表性的地段。</w:t>
      </w:r>
    </w:p>
    <w:p w14:paraId="25CE034F"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29" w:name="_Toc230353295"/>
      <w:proofErr w:type="gramStart"/>
      <w:r>
        <w:rPr>
          <w:rFonts w:ascii="黑体" w:eastAsia="黑体" w:hAnsi="黑体" w:cs="黑体" w:hint="eastAsia"/>
          <w:b/>
          <w:bCs/>
          <w:sz w:val="24"/>
        </w:rPr>
        <w:t>7.7  检测与标定</w:t>
      </w:r>
      <w:bookmarkEnd w:id="29"/>
      <w:proofErr w:type="gramEnd"/>
    </w:p>
    <w:p w14:paraId="6B61A67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7.7.1 每个测区工作前和工作期间应视工期长短定期对接收机及附属设备进行调节检测。接收机具有自检功能的，应定期进行自动校准检测。磁探头应定期进行标定（标定方法可依据各个仪器自带的说明书）。仪器设备各项指标合格后方可进行工作。</w:t>
      </w:r>
    </w:p>
    <w:p w14:paraId="1C3D23D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7.7.2 同一型号两台及两台以上接收机在同一测区野外工作前，应进行多台仪器一致性对比试验。</w:t>
      </w:r>
    </w:p>
    <w:p w14:paraId="7094B08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仪器一致性应在野外条件下，选择电磁干扰小的地段进行单点全频段测定；</w:t>
      </w:r>
    </w:p>
    <w:p w14:paraId="1344A7C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仪器一致性对比结果由某测点</w:t>
      </w:r>
      <w:r>
        <w:rPr>
          <w:rStyle w:val="CharChar"/>
          <w:rFonts w:hint="default"/>
          <w:color w:val="000000"/>
          <w:sz w:val="24"/>
          <w:szCs w:val="24"/>
        </w:rPr>
        <w:object w:dxaOrig="264" w:dyaOrig="220" w14:anchorId="469E1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1pt" o:ole="">
            <v:imagedata r:id="rId19" o:title=""/>
          </v:shape>
          <o:OLEObject Type="Embed" ProgID="Equation.3" ShapeID="_x0000_i1025" DrawAspect="Content" ObjectID="_1848833751" r:id="rId20"/>
        </w:object>
      </w:r>
      <w:r>
        <w:rPr>
          <w:rStyle w:val="CharChar"/>
          <w:rFonts w:hint="default"/>
          <w:color w:val="000000"/>
          <w:sz w:val="24"/>
          <w:szCs w:val="24"/>
        </w:rPr>
        <w:t>台仪器观测的总均方相对误差</w:t>
      </w:r>
      <w:r>
        <w:rPr>
          <w:rStyle w:val="CharChar"/>
          <w:rFonts w:hint="default"/>
          <w:color w:val="000000"/>
          <w:sz w:val="24"/>
          <w:szCs w:val="24"/>
        </w:rPr>
        <w:object w:dxaOrig="617" w:dyaOrig="382" w14:anchorId="392D04EC">
          <v:shape id="_x0000_i1026" type="#_x0000_t75" style="width:30.85pt;height:19.1pt" o:ole="">
            <v:imagedata r:id="rId21" o:title=""/>
          </v:shape>
          <o:OLEObject Type="Embed" ProgID="Equation.3" ShapeID="_x0000_i1026" DrawAspect="Content" ObjectID="_1848833752" r:id="rId22"/>
        </w:object>
      </w:r>
      <w:r>
        <w:rPr>
          <w:rStyle w:val="CharChar"/>
          <w:rFonts w:hint="default"/>
          <w:color w:val="000000"/>
          <w:sz w:val="24"/>
          <w:szCs w:val="24"/>
        </w:rPr>
        <w:t>来衡量，计算公式为：</w:t>
      </w:r>
    </w:p>
    <w:p w14:paraId="4BE42486" w14:textId="77777777" w:rsidR="00CD47A0" w:rsidRDefault="00000000">
      <w:pPr>
        <w:adjustRightInd w:val="0"/>
        <w:snapToGrid w:val="0"/>
        <w:spacing w:line="360" w:lineRule="auto"/>
        <w:ind w:firstLine="480"/>
        <w:rPr>
          <w:bCs/>
          <w:sz w:val="24"/>
        </w:rPr>
      </w:pPr>
      <w:r>
        <w:rPr>
          <w:sz w:val="24"/>
        </w:rPr>
        <w:t xml:space="preserve">   </w:t>
      </w:r>
      <w:r>
        <w:rPr>
          <w:rFonts w:hint="eastAsia"/>
          <w:sz w:val="24"/>
        </w:rPr>
        <w:t xml:space="preserve">                </w:t>
      </w:r>
      <w:r>
        <w:rPr>
          <w:sz w:val="24"/>
        </w:rPr>
        <w:t xml:space="preserve"> </w:t>
      </w:r>
      <w:r>
        <w:rPr>
          <w:bCs/>
          <w:position w:val="-26"/>
          <w:sz w:val="24"/>
        </w:rPr>
        <w:object w:dxaOrig="2042" w:dyaOrig="1058" w14:anchorId="0F2295C6">
          <v:shape id="_x0000_i1027" type="#_x0000_t75" style="width:102.1pt;height:52.9pt" o:ole="">
            <v:imagedata r:id="rId23" o:title=""/>
          </v:shape>
          <o:OLEObject Type="Embed" ProgID="Equation.3" ShapeID="_x0000_i1027" DrawAspect="Content" ObjectID="_1848833753" r:id="rId24"/>
        </w:object>
      </w:r>
      <w:r>
        <w:rPr>
          <w:sz w:val="24"/>
        </w:rPr>
        <w:t xml:space="preserve">                       </w:t>
      </w:r>
      <w:r>
        <w:rPr>
          <w:sz w:val="24"/>
        </w:rPr>
        <w:t>（</w:t>
      </w:r>
      <w:r>
        <w:rPr>
          <w:sz w:val="24"/>
        </w:rPr>
        <w:t>1</w:t>
      </w:r>
      <w:r>
        <w:rPr>
          <w:sz w:val="24"/>
        </w:rPr>
        <w:t>）</w:t>
      </w:r>
    </w:p>
    <w:p w14:paraId="0A5A163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式中：</w:t>
      </w:r>
      <w:r>
        <w:rPr>
          <w:rStyle w:val="CharChar"/>
          <w:rFonts w:hint="default"/>
          <w:color w:val="000000"/>
          <w:sz w:val="24"/>
          <w:szCs w:val="24"/>
        </w:rPr>
        <w:object w:dxaOrig="279" w:dyaOrig="382" w14:anchorId="3CD87DB5">
          <v:shape id="_x0000_i1028" type="#_x0000_t75" style="width:13.95pt;height:19.1pt" o:ole="">
            <v:imagedata r:id="rId25" o:title=""/>
          </v:shape>
          <o:OLEObject Type="Embed" ProgID="Equation.3" ShapeID="_x0000_i1028" DrawAspect="Content" ObjectID="_1848833754" r:id="rId26"/>
        </w:object>
      </w:r>
      <w:r>
        <w:rPr>
          <w:rStyle w:val="CharChar"/>
          <w:rFonts w:hint="default"/>
          <w:color w:val="000000"/>
          <w:sz w:val="24"/>
          <w:szCs w:val="24"/>
        </w:rPr>
        <w:t>——</w:t>
      </w:r>
      <w:r>
        <w:rPr>
          <w:rStyle w:val="CharChar"/>
          <w:rFonts w:hint="default"/>
          <w:color w:val="000000"/>
          <w:sz w:val="24"/>
          <w:szCs w:val="24"/>
        </w:rPr>
        <w:t>某仪器</w:t>
      </w:r>
      <w:r>
        <w:rPr>
          <w:rStyle w:val="CharChar"/>
          <w:rFonts w:hint="default"/>
          <w:color w:val="000000"/>
          <w:sz w:val="24"/>
          <w:szCs w:val="24"/>
        </w:rPr>
        <w:object w:dxaOrig="206" w:dyaOrig="294" w14:anchorId="585B6C1C">
          <v:shape id="_x0000_i1029" type="#_x0000_t75" style="width:10.3pt;height:14.7pt" o:ole="">
            <v:imagedata r:id="rId27" o:title=""/>
          </v:shape>
          <o:OLEObject Type="Embed" ProgID="Equation.3" ShapeID="_x0000_i1029" DrawAspect="Content" ObjectID="_1848833755" r:id="rId28"/>
        </w:object>
      </w:r>
      <w:r>
        <w:rPr>
          <w:rStyle w:val="CharChar"/>
          <w:rFonts w:hint="default"/>
          <w:color w:val="000000"/>
          <w:sz w:val="24"/>
          <w:szCs w:val="24"/>
        </w:rPr>
        <w:t>在某频点</w:t>
      </w:r>
      <w:r>
        <w:rPr>
          <w:rStyle w:val="CharChar"/>
          <w:rFonts w:hint="default"/>
          <w:color w:val="000000"/>
          <w:sz w:val="24"/>
          <w:szCs w:val="24"/>
        </w:rPr>
        <w:object w:dxaOrig="147" w:dyaOrig="264" w14:anchorId="464F4277">
          <v:shape id="_x0000_i1030" type="#_x0000_t75" style="width:7.35pt;height:13.2pt" o:ole="">
            <v:imagedata r:id="rId29" o:title=""/>
          </v:shape>
          <o:OLEObject Type="Embed" ProgID="Equation.3" ShapeID="_x0000_i1030" DrawAspect="Content" ObjectID="_1848833756" r:id="rId30"/>
        </w:object>
      </w:r>
      <w:r>
        <w:rPr>
          <w:rStyle w:val="CharChar"/>
          <w:rFonts w:hint="default"/>
          <w:color w:val="000000"/>
          <w:sz w:val="24"/>
          <w:szCs w:val="24"/>
        </w:rPr>
        <w:t>上之观测值与</w:t>
      </w:r>
      <w:r>
        <w:rPr>
          <w:rStyle w:val="CharChar"/>
          <w:rFonts w:hint="default"/>
          <w:color w:val="000000"/>
          <w:sz w:val="24"/>
          <w:szCs w:val="24"/>
        </w:rPr>
        <w:object w:dxaOrig="264" w:dyaOrig="220" w14:anchorId="69B5B654">
          <v:shape id="_x0000_i1031" type="#_x0000_t75" style="width:13.2pt;height:11pt" o:ole="">
            <v:imagedata r:id="rId19" o:title=""/>
          </v:shape>
          <o:OLEObject Type="Embed" ProgID="Equation.3" ShapeID="_x0000_i1031" DrawAspect="Content" ObjectID="_1848833757" r:id="rId31"/>
        </w:object>
      </w:r>
      <w:r>
        <w:rPr>
          <w:rStyle w:val="CharChar"/>
          <w:rFonts w:hint="default"/>
          <w:color w:val="000000"/>
          <w:sz w:val="24"/>
          <w:szCs w:val="24"/>
        </w:rPr>
        <w:t>台仪器在第</w:t>
      </w:r>
      <w:r>
        <w:rPr>
          <w:rStyle w:val="CharChar"/>
          <w:rFonts w:hint="default"/>
          <w:color w:val="000000"/>
          <w:sz w:val="24"/>
          <w:szCs w:val="24"/>
        </w:rPr>
        <w:object w:dxaOrig="147" w:dyaOrig="264" w14:anchorId="7B20B251">
          <v:shape id="_x0000_i1032" type="#_x0000_t75" style="width:7.35pt;height:13.2pt" o:ole="">
            <v:imagedata r:id="rId29" o:title=""/>
          </v:shape>
          <o:OLEObject Type="Embed" ProgID="Equation.3" ShapeID="_x0000_i1032" DrawAspect="Content" ObjectID="_1848833758" r:id="rId32"/>
        </w:object>
      </w:r>
      <w:r>
        <w:rPr>
          <w:rStyle w:val="CharChar"/>
          <w:rFonts w:hint="default"/>
          <w:color w:val="000000"/>
          <w:sz w:val="24"/>
          <w:szCs w:val="24"/>
        </w:rPr>
        <w:t>频点上的观测值的平均值的相对误差，</w:t>
      </w:r>
      <w:r>
        <w:rPr>
          <w:rStyle w:val="CharChar"/>
          <w:rFonts w:hint="default"/>
          <w:color w:val="000000"/>
          <w:sz w:val="24"/>
          <w:szCs w:val="24"/>
        </w:rPr>
        <w:object w:dxaOrig="1234" w:dyaOrig="779" w14:anchorId="3065CCA8">
          <v:shape id="_x0000_i1033" type="#_x0000_t75" style="width:61.7pt;height:38.95pt" o:ole="">
            <v:imagedata r:id="rId33" o:title=""/>
          </v:shape>
          <o:OLEObject Type="Embed" ProgID="Equation.3" ShapeID="_x0000_i1033" DrawAspect="Content" ObjectID="_1848833759" r:id="rId34"/>
        </w:object>
      </w:r>
      <w:r>
        <w:rPr>
          <w:rStyle w:val="CharChar"/>
          <w:rFonts w:hint="default"/>
          <w:color w:val="000000"/>
          <w:sz w:val="24"/>
          <w:szCs w:val="24"/>
        </w:rPr>
        <w:t>；</w:t>
      </w:r>
    </w:p>
    <w:p w14:paraId="3D1377F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object w:dxaOrig="279" w:dyaOrig="382" w14:anchorId="4C690CFE">
          <v:shape id="_x0000_i1034" type="#_x0000_t75" style="width:13.95pt;height:19.1pt" o:ole="">
            <v:imagedata r:id="rId35" o:title=""/>
          </v:shape>
          <o:OLEObject Type="Embed" ProgID="Equation.3" ShapeID="_x0000_i1034" DrawAspect="Content" ObjectID="_1848833760" r:id="rId36"/>
        </w:object>
      </w:r>
      <w:r>
        <w:rPr>
          <w:rStyle w:val="CharChar"/>
          <w:rFonts w:hint="default"/>
          <w:color w:val="000000"/>
          <w:sz w:val="24"/>
          <w:szCs w:val="24"/>
        </w:rPr>
        <w:t>——</w:t>
      </w:r>
      <w:r>
        <w:rPr>
          <w:rStyle w:val="CharChar"/>
          <w:rFonts w:hint="default"/>
          <w:color w:val="000000"/>
          <w:sz w:val="24"/>
          <w:szCs w:val="24"/>
        </w:rPr>
        <w:t>第</w:t>
      </w:r>
      <w:r>
        <w:rPr>
          <w:rStyle w:val="CharChar"/>
          <w:rFonts w:hint="default"/>
          <w:color w:val="000000"/>
          <w:sz w:val="24"/>
          <w:szCs w:val="24"/>
        </w:rPr>
        <w:object w:dxaOrig="206" w:dyaOrig="294" w14:anchorId="75243C72">
          <v:shape id="_x0000_i1035" type="#_x0000_t75" style="width:10.3pt;height:14.7pt" o:ole="">
            <v:imagedata r:id="rId27" o:title=""/>
          </v:shape>
          <o:OLEObject Type="Embed" ProgID="Equation.3" ShapeID="_x0000_i1035" DrawAspect="Content" ObjectID="_1848833761" r:id="rId37"/>
        </w:object>
      </w:r>
      <w:r>
        <w:rPr>
          <w:rStyle w:val="CharChar"/>
          <w:rFonts w:hint="default"/>
          <w:color w:val="000000"/>
          <w:sz w:val="24"/>
          <w:szCs w:val="24"/>
        </w:rPr>
        <w:t>台仪器在第</w:t>
      </w:r>
      <w:r>
        <w:rPr>
          <w:rStyle w:val="CharChar"/>
          <w:rFonts w:hint="default"/>
          <w:color w:val="000000"/>
          <w:sz w:val="24"/>
          <w:szCs w:val="24"/>
        </w:rPr>
        <w:object w:dxaOrig="147" w:dyaOrig="264" w14:anchorId="0A2FC8E5">
          <v:shape id="_x0000_i1036" type="#_x0000_t75" style="width:7.35pt;height:13.2pt" o:ole="">
            <v:imagedata r:id="rId29" o:title=""/>
          </v:shape>
          <o:OLEObject Type="Embed" ProgID="Equation.3" ShapeID="_x0000_i1036" DrawAspect="Content" ObjectID="_1848833762" r:id="rId38"/>
        </w:object>
      </w:r>
      <w:r>
        <w:rPr>
          <w:rStyle w:val="CharChar"/>
          <w:rFonts w:hint="default"/>
          <w:color w:val="000000"/>
          <w:sz w:val="24"/>
          <w:szCs w:val="24"/>
        </w:rPr>
        <w:t>频点的观测值；</w:t>
      </w:r>
    </w:p>
    <w:p w14:paraId="2EEE818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object w:dxaOrig="279" w:dyaOrig="397" w14:anchorId="663AA6D2">
          <v:shape id="_x0000_i1037" type="#_x0000_t75" style="width:13.95pt;height:19.85pt" o:ole="">
            <v:imagedata r:id="rId39" o:title=""/>
          </v:shape>
          <o:OLEObject Type="Embed" ProgID="Equation.3" ShapeID="_x0000_i1037" DrawAspect="Content" ObjectID="_1848833763" r:id="rId40"/>
        </w:object>
      </w:r>
      <w:r>
        <w:rPr>
          <w:rStyle w:val="CharChar"/>
          <w:rFonts w:hint="default"/>
          <w:color w:val="000000"/>
          <w:sz w:val="24"/>
          <w:szCs w:val="24"/>
        </w:rPr>
        <w:t>——</w:t>
      </w:r>
      <w:r>
        <w:rPr>
          <w:rStyle w:val="CharChar"/>
          <w:rFonts w:hint="default"/>
          <w:color w:val="000000"/>
          <w:sz w:val="24"/>
          <w:szCs w:val="24"/>
        </w:rPr>
        <w:object w:dxaOrig="264" w:dyaOrig="220" w14:anchorId="731EB7E1">
          <v:shape id="_x0000_i1038" type="#_x0000_t75" style="width:13.2pt;height:11pt" o:ole="">
            <v:imagedata r:id="rId19" o:title=""/>
          </v:shape>
          <o:OLEObject Type="Embed" ProgID="Equation.3" ShapeID="_x0000_i1038" DrawAspect="Content" ObjectID="_1848833764" r:id="rId41"/>
        </w:object>
      </w:r>
      <w:r>
        <w:rPr>
          <w:rStyle w:val="CharChar"/>
          <w:rFonts w:hint="default"/>
          <w:color w:val="000000"/>
          <w:sz w:val="24"/>
          <w:szCs w:val="24"/>
        </w:rPr>
        <w:t>台仪器在第</w:t>
      </w:r>
      <w:r>
        <w:rPr>
          <w:rStyle w:val="CharChar"/>
          <w:rFonts w:hint="default"/>
          <w:color w:val="000000"/>
          <w:sz w:val="24"/>
          <w:szCs w:val="24"/>
        </w:rPr>
        <w:object w:dxaOrig="147" w:dyaOrig="264" w14:anchorId="7C811AA9">
          <v:shape id="_x0000_i1039" type="#_x0000_t75" style="width:7.35pt;height:13.2pt" o:ole="">
            <v:imagedata r:id="rId29" o:title=""/>
          </v:shape>
          <o:OLEObject Type="Embed" ProgID="Equation.3" ShapeID="_x0000_i1039" DrawAspect="Content" ObjectID="_1848833765" r:id="rId42"/>
        </w:object>
      </w:r>
      <w:r>
        <w:rPr>
          <w:rStyle w:val="CharChar"/>
          <w:rFonts w:hint="default"/>
          <w:color w:val="000000"/>
          <w:sz w:val="24"/>
          <w:szCs w:val="24"/>
        </w:rPr>
        <w:t>频点上的观测值的平均值，</w:t>
      </w:r>
      <w:r>
        <w:rPr>
          <w:rStyle w:val="CharChar"/>
          <w:rFonts w:hint="default"/>
          <w:color w:val="000000"/>
          <w:sz w:val="24"/>
          <w:szCs w:val="24"/>
        </w:rPr>
        <w:object w:dxaOrig="1368" w:dyaOrig="705" w14:anchorId="7FE8C332">
          <v:shape id="_x0000_i1040" type="#_x0000_t75" style="width:68.4pt;height:35.25pt" o:ole="">
            <v:imagedata r:id="rId43" o:title=""/>
          </v:shape>
          <o:OLEObject Type="Embed" ProgID="Equation.3" ShapeID="_x0000_i1040" DrawAspect="Content" ObjectID="_1848833766" r:id="rId44"/>
        </w:object>
      </w:r>
      <w:r>
        <w:rPr>
          <w:rStyle w:val="CharChar"/>
          <w:rFonts w:hint="default"/>
          <w:color w:val="000000"/>
          <w:sz w:val="24"/>
          <w:szCs w:val="24"/>
        </w:rPr>
        <w:t>；</w:t>
      </w:r>
    </w:p>
    <w:p w14:paraId="0EEC958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object w:dxaOrig="264" w:dyaOrig="220" w14:anchorId="1F955478">
          <v:shape id="_x0000_i1041" type="#_x0000_t75" style="width:13.2pt;height:11pt" o:ole="">
            <v:imagedata r:id="rId19" o:title=""/>
          </v:shape>
          <o:OLEObject Type="Embed" ProgID="Equation.3" ShapeID="_x0000_i1041" DrawAspect="Content" ObjectID="_1848833767" r:id="rId45"/>
        </w:object>
      </w:r>
      <w:r>
        <w:rPr>
          <w:rStyle w:val="CharChar"/>
          <w:rFonts w:hint="default"/>
          <w:color w:val="000000"/>
          <w:sz w:val="24"/>
          <w:szCs w:val="24"/>
        </w:rPr>
        <w:t>——</w:t>
      </w:r>
      <w:r>
        <w:rPr>
          <w:rStyle w:val="CharChar"/>
          <w:rFonts w:hint="default"/>
          <w:color w:val="000000"/>
          <w:sz w:val="24"/>
          <w:szCs w:val="24"/>
        </w:rPr>
        <w:t>参加一致性观测的仪器台数；</w:t>
      </w:r>
    </w:p>
    <w:p w14:paraId="2531225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object w:dxaOrig="206" w:dyaOrig="220" w14:anchorId="3ED64A73">
          <v:shape id="_x0000_i1042" type="#_x0000_t75" style="width:10.3pt;height:11pt" o:ole="">
            <v:imagedata r:id="rId46" o:title=""/>
          </v:shape>
          <o:OLEObject Type="Embed" ProgID="Equation.3" ShapeID="_x0000_i1042" DrawAspect="Content" ObjectID="_1848833768" r:id="rId47"/>
        </w:object>
      </w:r>
      <w:r>
        <w:rPr>
          <w:rStyle w:val="CharChar"/>
          <w:rFonts w:hint="default"/>
          <w:color w:val="000000"/>
          <w:sz w:val="24"/>
          <w:szCs w:val="24"/>
        </w:rPr>
        <w:t>——</w:t>
      </w:r>
      <w:r>
        <w:rPr>
          <w:rStyle w:val="CharChar"/>
          <w:rFonts w:hint="default"/>
          <w:color w:val="000000"/>
          <w:sz w:val="24"/>
          <w:szCs w:val="24"/>
        </w:rPr>
        <w:t>参与一致性试验的观测频点数；</w:t>
      </w:r>
    </w:p>
    <w:p w14:paraId="68FEB28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object w:dxaOrig="220" w:dyaOrig="264" w14:anchorId="3DF2E2DD">
          <v:shape id="_x0000_i1043" type="#_x0000_t75" style="width:11pt;height:13.2pt" o:ole="">
            <v:imagedata r:id="rId48" o:title=""/>
          </v:shape>
          <o:OLEObject Type="Embed" ProgID="Equation.3" ShapeID="_x0000_i1043" DrawAspect="Content" ObjectID="_1848833769" r:id="rId49"/>
        </w:object>
      </w:r>
      <w:r>
        <w:rPr>
          <w:rStyle w:val="CharChar"/>
          <w:rFonts w:hint="default"/>
          <w:color w:val="000000"/>
          <w:sz w:val="24"/>
          <w:szCs w:val="24"/>
        </w:rPr>
        <w:t>——</w:t>
      </w:r>
      <w:r>
        <w:rPr>
          <w:rStyle w:val="CharChar"/>
          <w:rFonts w:hint="default"/>
          <w:color w:val="000000"/>
          <w:sz w:val="24"/>
          <w:szCs w:val="24"/>
        </w:rPr>
        <w:t>相对误差</w:t>
      </w:r>
      <w:r>
        <w:rPr>
          <w:rStyle w:val="CharChar"/>
          <w:rFonts w:hint="default"/>
          <w:color w:val="000000"/>
          <w:sz w:val="24"/>
          <w:szCs w:val="24"/>
        </w:rPr>
        <w:object w:dxaOrig="279" w:dyaOrig="382" w14:anchorId="29F5FDE5">
          <v:shape id="_x0000_i1044" type="#_x0000_t75" style="width:13.95pt;height:19.1pt" o:ole="">
            <v:imagedata r:id="rId50" o:title=""/>
          </v:shape>
          <o:OLEObject Type="Embed" ProgID="Equation.3" ShapeID="_x0000_i1044" DrawAspect="Content" ObjectID="_1848833770" r:id="rId51"/>
        </w:object>
      </w:r>
      <w:r>
        <w:rPr>
          <w:rStyle w:val="CharChar"/>
          <w:rFonts w:hint="default"/>
          <w:color w:val="000000"/>
          <w:sz w:val="24"/>
          <w:szCs w:val="24"/>
        </w:rPr>
        <w:t>的总个数</w:t>
      </w:r>
      <w:r>
        <w:rPr>
          <w:rStyle w:val="CharChar"/>
          <w:rFonts w:hint="default"/>
          <w:color w:val="000000"/>
          <w:sz w:val="24"/>
          <w:szCs w:val="24"/>
        </w:rPr>
        <w:object w:dxaOrig="940" w:dyaOrig="279" w14:anchorId="5D1A0A37">
          <v:shape id="_x0000_i1045" type="#_x0000_t75" style="width:47pt;height:13.95pt" o:ole="">
            <v:imagedata r:id="rId52" o:title=""/>
          </v:shape>
          <o:OLEObject Type="Embed" ProgID="Equation.3" ShapeID="_x0000_i1045" DrawAspect="Content" ObjectID="_1848833771" r:id="rId53"/>
        </w:object>
      </w:r>
      <w:r>
        <w:rPr>
          <w:rStyle w:val="CharChar"/>
          <w:rFonts w:hint="default"/>
          <w:color w:val="000000"/>
          <w:sz w:val="24"/>
          <w:szCs w:val="24"/>
        </w:rPr>
        <w:t>。</w:t>
      </w:r>
    </w:p>
    <w:p w14:paraId="0E13BFD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一致性试验的</w:t>
      </w:r>
      <w:r>
        <w:rPr>
          <w:rStyle w:val="CharChar"/>
          <w:rFonts w:hint="default"/>
          <w:color w:val="000000"/>
          <w:sz w:val="24"/>
          <w:szCs w:val="24"/>
        </w:rPr>
        <w:object w:dxaOrig="617" w:dyaOrig="382" w14:anchorId="4B06B985">
          <v:shape id="_x0000_i1046" type="#_x0000_t75" style="width:30.85pt;height:19.1pt" o:ole="">
            <v:imagedata r:id="rId21" o:title=""/>
          </v:shape>
          <o:OLEObject Type="Embed" ProgID="Equation.3" ShapeID="_x0000_i1046" DrawAspect="Content" ObjectID="_1848833772" r:id="rId54"/>
        </w:object>
      </w:r>
      <w:r>
        <w:rPr>
          <w:rStyle w:val="CharChar"/>
          <w:rFonts w:hint="default"/>
          <w:color w:val="000000"/>
          <w:sz w:val="24"/>
          <w:szCs w:val="24"/>
        </w:rPr>
        <w:t>应不大于设计的工作总精度的2／3，否则应从参加试验的</w:t>
      </w:r>
      <w:r>
        <w:rPr>
          <w:rStyle w:val="CharChar"/>
          <w:rFonts w:hint="default"/>
          <w:color w:val="000000"/>
          <w:sz w:val="24"/>
          <w:szCs w:val="24"/>
        </w:rPr>
        <w:object w:dxaOrig="264" w:dyaOrig="220" w14:anchorId="5C07FF7A">
          <v:shape id="_x0000_i1047" type="#_x0000_t75" style="width:13.2pt;height:11pt" o:ole="">
            <v:imagedata r:id="rId19" o:title=""/>
          </v:shape>
          <o:OLEObject Type="Embed" ProgID="Equation.3" ShapeID="_x0000_i1047" DrawAspect="Content" ObjectID="_1848833773" r:id="rId55"/>
        </w:object>
      </w:r>
      <w:r>
        <w:rPr>
          <w:rStyle w:val="CharChar"/>
          <w:rFonts w:hint="default"/>
          <w:color w:val="000000"/>
          <w:sz w:val="24"/>
          <w:szCs w:val="24"/>
        </w:rPr>
        <w:t>台仪器中找出偏离大的某仪器不予使用，或经调节该仪器性能后达到一致性要求时方可使用。</w:t>
      </w:r>
    </w:p>
    <w:p w14:paraId="26B41418"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0" w:name="_Toc230353296"/>
      <w:r>
        <w:rPr>
          <w:rFonts w:ascii="黑体" w:eastAsia="黑体" w:hAnsi="黑体" w:cs="黑体" w:hint="eastAsia"/>
          <w:b/>
          <w:bCs/>
          <w:sz w:val="24"/>
        </w:rPr>
        <w:t>7.8 数据采集</w:t>
      </w:r>
      <w:bookmarkEnd w:id="30"/>
    </w:p>
    <w:p w14:paraId="6573A6E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7.8.1 技术人员和发射方提前一天按最佳发射时长沟通好发射频率表，根据发射起始时间提前到指定测点布设接收设备。</w:t>
      </w:r>
    </w:p>
    <w:p w14:paraId="20D698A7"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7.8.2  数据采集前</w:t>
      </w:r>
      <w:proofErr w:type="gramEnd"/>
      <w:r>
        <w:rPr>
          <w:rStyle w:val="CharChar"/>
          <w:rFonts w:hint="default"/>
          <w:color w:val="000000"/>
          <w:sz w:val="24"/>
          <w:szCs w:val="24"/>
        </w:rPr>
        <w:t>，操作员应检查电源状态、GNSS授时状态、接收电极接地电阻、传感器连接和各通道工作状态，确认满足仪器说明书和技术设计要求。</w:t>
      </w:r>
    </w:p>
    <w:p w14:paraId="63AB030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7.8.3 记录员用铅笔记录测站点线号、所用接收机和磁传感器的序列号、地形地貌、干扰、电池电压及接地电阻等相关信息，完成班报填写。</w:t>
      </w:r>
    </w:p>
    <w:p w14:paraId="329F0A0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7.8.4 在发射起始时间前30分钟开机，用电脑或手簿为仪器设置/检查各项参数并开始采集信号，通过监测各道信号及时发现并解决问题，仪器正常且正式记录发射信号前，撤离采集区域。</w:t>
      </w:r>
    </w:p>
    <w:p w14:paraId="1A500E5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7.8.5 所有频点发射完成后，方可结束数据采集。</w:t>
      </w:r>
    </w:p>
    <w:p w14:paraId="0C425BF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7.8.6 搬站前，应查看接收机各道的信号是否工作正常并关机。若有问题做好记录，同时记录关机时间。替换已存储采集信号的SD存储卡。再次用万用表测量并记录电池电压、接地电阻，将已用电池做好标记，带回充电。</w:t>
      </w:r>
    </w:p>
    <w:p w14:paraId="68CE2BE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7.8.7 在正式发射信号前，将接收设备搬到下一个测站并布设完毕，重复7.8.2~7.8.4。</w:t>
      </w:r>
    </w:p>
    <w:p w14:paraId="48781B35" w14:textId="77777777" w:rsidR="00CD47A0" w:rsidRDefault="00000000">
      <w:pPr>
        <w:pStyle w:val="af5"/>
        <w:ind w:firstLine="480"/>
        <w:rPr>
          <w:rStyle w:val="CharChar"/>
          <w:rFonts w:hint="default"/>
          <w:color w:val="000000"/>
          <w:sz w:val="24"/>
          <w:szCs w:val="24"/>
        </w:rPr>
      </w:pPr>
      <w:proofErr w:type="gramStart"/>
      <w:r>
        <w:rPr>
          <w:rStyle w:val="CharChar"/>
          <w:rFonts w:hint="default"/>
          <w:color w:val="000000"/>
          <w:sz w:val="24"/>
          <w:szCs w:val="24"/>
        </w:rPr>
        <w:t>7.8.8  当日采集数据应及时备份并进行现场质量检查</w:t>
      </w:r>
      <w:proofErr w:type="gramEnd"/>
      <w:r>
        <w:rPr>
          <w:rStyle w:val="CharChar"/>
          <w:rFonts w:hint="default"/>
          <w:color w:val="000000"/>
          <w:sz w:val="24"/>
          <w:szCs w:val="24"/>
        </w:rPr>
        <w:t>，检查内容宜包括数据完整性、波形或频谱、信噪比、视电阻率及相位曲线等。发现异常时，应查明原因并按规定补测或重测。</w:t>
      </w:r>
    </w:p>
    <w:p w14:paraId="42B8A09D"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1" w:name="_Toc230353297"/>
      <w:r>
        <w:rPr>
          <w:rFonts w:ascii="黑体" w:eastAsia="黑体" w:hAnsi="黑体" w:cs="黑体" w:hint="eastAsia"/>
          <w:b/>
          <w:bCs/>
          <w:sz w:val="24"/>
        </w:rPr>
        <w:t>7.9 质量检查与评价</w:t>
      </w:r>
      <w:bookmarkEnd w:id="31"/>
    </w:p>
    <w:p w14:paraId="3FF6712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7.9.1 检查点应在不同操作员、不同时间、不同供电电流情况下进行，测量全部工作频点。</w:t>
      </w:r>
    </w:p>
    <w:p w14:paraId="6C5F3E3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7.9.2 检查点在测区内大体均匀分布，观测点数不得少于全区总点数的3%，在异常区段必须有一定数量的检查点。</w:t>
      </w:r>
    </w:p>
    <w:p w14:paraId="1CE23FB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7.9.3 剔除检查与观测数据中明显的畸变频点后，以单个物理点为单位，计算各个频点的卡尼亚电阻率和相位相对误差</w:t>
      </w:r>
      <w:r>
        <w:rPr>
          <w:rStyle w:val="CharChar"/>
          <w:rFonts w:hint="default"/>
          <w:color w:val="000000"/>
          <w:sz w:val="24"/>
          <w:szCs w:val="24"/>
        </w:rPr>
        <w:object w:dxaOrig="294" w:dyaOrig="367" w14:anchorId="39E0D532">
          <v:shape id="_x0000_i1048" type="#_x0000_t75" style="width:15pt;height:18pt" o:ole="">
            <v:imagedata r:id="rId56" o:title=""/>
          </v:shape>
          <o:OLEObject Type="Embed" ProgID="Equation.3" ShapeID="_x0000_i1048" DrawAspect="Content" ObjectID="_1848833774" r:id="rId57"/>
        </w:object>
      </w:r>
      <w:r>
        <w:rPr>
          <w:rStyle w:val="CharChar"/>
          <w:rFonts w:hint="default"/>
          <w:color w:val="000000"/>
          <w:sz w:val="24"/>
          <w:szCs w:val="24"/>
        </w:rPr>
        <w:t>并编列统计表，必要时绘制误差分布曲线了解误差分布情况。单频点的卡尼亚电阻率相对误差</w:t>
      </w:r>
      <w:r>
        <w:rPr>
          <w:rStyle w:val="CharChar"/>
          <w:rFonts w:hint="default"/>
          <w:color w:val="000000"/>
          <w:sz w:val="24"/>
          <w:szCs w:val="24"/>
        </w:rPr>
        <w:object w:dxaOrig="294" w:dyaOrig="367" w14:anchorId="015FABE5">
          <v:shape id="_x0000_i1049" type="#_x0000_t75" style="width:15pt;height:18pt" o:ole="">
            <v:imagedata r:id="rId58" o:title=""/>
          </v:shape>
          <o:OLEObject Type="Embed" ProgID="Equation.3" ShapeID="_x0000_i1049" DrawAspect="Content" ObjectID="_1848833775" r:id="rId59"/>
        </w:object>
      </w:r>
      <w:r>
        <w:rPr>
          <w:rStyle w:val="CharChar"/>
          <w:rFonts w:hint="default"/>
          <w:color w:val="000000"/>
          <w:sz w:val="24"/>
          <w:szCs w:val="24"/>
        </w:rPr>
        <w:t xml:space="preserve">计算公式（阻抗相位的计算方法相同）为： </w:t>
      </w:r>
    </w:p>
    <w:p w14:paraId="2EB2F57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                      </w:t>
      </w:r>
      <w:r>
        <w:rPr>
          <w:rStyle w:val="CharChar"/>
          <w:rFonts w:hint="default"/>
          <w:color w:val="000000"/>
          <w:sz w:val="24"/>
          <w:szCs w:val="24"/>
        </w:rPr>
        <w:object w:dxaOrig="2174" w:dyaOrig="999" w14:anchorId="4E5223AB">
          <v:shape id="_x0000_i1050" type="#_x0000_t75" style="width:108.75pt;height:50.25pt" o:ole="">
            <v:imagedata r:id="rId60" o:title=""/>
          </v:shape>
          <o:OLEObject Type="Embed" ProgID="Equation.3" ShapeID="_x0000_i1050" DrawAspect="Content" ObjectID="_1848833776" r:id="rId61"/>
        </w:object>
      </w:r>
      <w:r>
        <w:rPr>
          <w:rStyle w:val="CharChar"/>
          <w:rFonts w:hint="default"/>
          <w:color w:val="000000"/>
          <w:sz w:val="24"/>
          <w:szCs w:val="24"/>
        </w:rPr>
        <w:t xml:space="preserve">                          （2）</w:t>
      </w:r>
    </w:p>
    <w:p w14:paraId="227FD9F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式中：</w:t>
      </w:r>
      <w:r>
        <w:rPr>
          <w:rStyle w:val="CharChar"/>
          <w:rFonts w:hint="default"/>
          <w:color w:val="000000"/>
          <w:sz w:val="24"/>
          <w:szCs w:val="24"/>
        </w:rPr>
        <w:object w:dxaOrig="338" w:dyaOrig="367" w14:anchorId="402F28CB">
          <v:shape id="_x0000_i1051" type="#_x0000_t75" style="width:17.25pt;height:18pt" o:ole="">
            <v:imagedata r:id="rId62" o:title=""/>
          </v:shape>
          <o:OLEObject Type="Embed" ProgID="Equation.3" ShapeID="_x0000_i1051" DrawAspect="Content" ObjectID="_1848833777" r:id="rId63"/>
        </w:object>
      </w:r>
      <w:r>
        <w:rPr>
          <w:rStyle w:val="CharChar"/>
          <w:rFonts w:hint="default"/>
          <w:color w:val="000000"/>
          <w:sz w:val="24"/>
          <w:szCs w:val="24"/>
        </w:rPr>
        <w:t>——</w:t>
      </w:r>
      <w:r>
        <w:rPr>
          <w:rStyle w:val="CharChar"/>
          <w:rFonts w:hint="default"/>
          <w:color w:val="000000"/>
          <w:sz w:val="24"/>
          <w:szCs w:val="24"/>
        </w:rPr>
        <w:t>第</w:t>
      </w:r>
      <w:proofErr w:type="spellStart"/>
      <w:r>
        <w:rPr>
          <w:rStyle w:val="CharChar"/>
          <w:rFonts w:hint="default"/>
          <w:color w:val="000000"/>
          <w:sz w:val="24"/>
          <w:szCs w:val="24"/>
        </w:rPr>
        <w:t>i</w:t>
      </w:r>
      <w:proofErr w:type="spellEnd"/>
      <w:r>
        <w:rPr>
          <w:rStyle w:val="CharChar"/>
          <w:rFonts w:hint="default"/>
          <w:color w:val="000000"/>
          <w:sz w:val="24"/>
          <w:szCs w:val="24"/>
        </w:rPr>
        <w:t>个频点原始观测的卡尼亚电阻率；</w:t>
      </w:r>
      <w:r>
        <w:rPr>
          <w:rStyle w:val="CharChar"/>
          <w:rFonts w:hint="default"/>
          <w:color w:val="000000"/>
          <w:sz w:val="24"/>
          <w:szCs w:val="24"/>
        </w:rPr>
        <w:object w:dxaOrig="338" w:dyaOrig="382" w14:anchorId="6C3CD899">
          <v:shape id="_x0000_i1052" type="#_x0000_t75" style="width:17.25pt;height:18.75pt" o:ole="">
            <v:imagedata r:id="rId64" o:title=""/>
          </v:shape>
          <o:OLEObject Type="Embed" ProgID="Equation.3" ShapeID="_x0000_i1052" DrawAspect="Content" ObjectID="_1848833778" r:id="rId65"/>
        </w:object>
      </w:r>
      <w:r>
        <w:rPr>
          <w:rStyle w:val="CharChar"/>
          <w:rFonts w:hint="default"/>
          <w:color w:val="000000"/>
          <w:sz w:val="24"/>
          <w:szCs w:val="24"/>
        </w:rPr>
        <w:t>——</w:t>
      </w:r>
      <w:r>
        <w:rPr>
          <w:rStyle w:val="CharChar"/>
          <w:rFonts w:hint="default"/>
          <w:color w:val="000000"/>
          <w:sz w:val="24"/>
          <w:szCs w:val="24"/>
        </w:rPr>
        <w:t>第</w:t>
      </w:r>
      <w:proofErr w:type="spellStart"/>
      <w:r>
        <w:rPr>
          <w:rStyle w:val="CharChar"/>
          <w:rFonts w:hint="default"/>
          <w:color w:val="000000"/>
          <w:sz w:val="24"/>
          <w:szCs w:val="24"/>
        </w:rPr>
        <w:t>i</w:t>
      </w:r>
      <w:proofErr w:type="spellEnd"/>
      <w:r>
        <w:rPr>
          <w:rStyle w:val="CharChar"/>
          <w:rFonts w:hint="default"/>
          <w:color w:val="000000"/>
          <w:sz w:val="24"/>
          <w:szCs w:val="24"/>
        </w:rPr>
        <w:t>个频点检查观测的卡尼亚电阻率。</w:t>
      </w:r>
    </w:p>
    <w:p w14:paraId="1DD94BE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7.9.4 单个物理点的检查观测质量用均方相对误差衡量。根据各个频点的卡尼亚电阻率和阻抗相位相对误差</w:t>
      </w:r>
      <w:r>
        <w:rPr>
          <w:rStyle w:val="CharChar"/>
          <w:rFonts w:hint="default"/>
          <w:color w:val="000000"/>
          <w:sz w:val="24"/>
          <w:szCs w:val="24"/>
        </w:rPr>
        <w:object w:dxaOrig="294" w:dyaOrig="367" w14:anchorId="754E5226">
          <v:shape id="_x0000_i1053" type="#_x0000_t75" style="width:15pt;height:18pt" o:ole="">
            <v:imagedata r:id="rId56" o:title=""/>
          </v:shape>
          <o:OLEObject Type="Embed" ProgID="Equation.3" ShapeID="_x0000_i1053" DrawAspect="Content" ObjectID="_1848833779" r:id="rId66"/>
        </w:object>
      </w:r>
      <w:r>
        <w:rPr>
          <w:rStyle w:val="CharChar"/>
          <w:rFonts w:hint="default"/>
          <w:color w:val="000000"/>
          <w:sz w:val="24"/>
          <w:szCs w:val="24"/>
        </w:rPr>
        <w:t>，计算单个物理点</w:t>
      </w:r>
      <w:r>
        <w:rPr>
          <w:rStyle w:val="CharChar"/>
          <w:rFonts w:hint="default"/>
          <w:color w:val="000000"/>
          <w:sz w:val="24"/>
          <w:szCs w:val="24"/>
        </w:rPr>
        <w:object w:dxaOrig="147" w:dyaOrig="279" w14:anchorId="58B283A6">
          <v:shape id="_x0000_i1054" type="#_x0000_t75" style="width:7.5pt;height:14.25pt" o:ole="">
            <v:imagedata r:id="rId67" o:title=""/>
          </v:shape>
          <o:OLEObject Type="Embed" ProgID="Equation.3" ShapeID="_x0000_i1054" DrawAspect="Content" ObjectID="_1848833780" r:id="rId68"/>
        </w:object>
      </w:r>
      <w:r>
        <w:rPr>
          <w:rStyle w:val="CharChar"/>
          <w:rFonts w:hint="default"/>
          <w:color w:val="000000"/>
          <w:sz w:val="24"/>
          <w:szCs w:val="24"/>
        </w:rPr>
        <w:t>的卡尼亚电阻率和阻抗相位均方相对误差</w:t>
      </w:r>
      <w:r>
        <w:rPr>
          <w:rStyle w:val="CharChar"/>
          <w:rFonts w:hint="default"/>
          <w:color w:val="000000"/>
          <w:sz w:val="24"/>
          <w:szCs w:val="24"/>
        </w:rPr>
        <w:object w:dxaOrig="367" w:dyaOrig="367" w14:anchorId="53715D48">
          <v:shape id="_x0000_i1055" type="#_x0000_t75" style="width:18pt;height:18pt" o:ole="">
            <v:imagedata r:id="rId69" o:title=""/>
          </v:shape>
          <o:OLEObject Type="Embed" ProgID="Equation.3" ShapeID="_x0000_i1055" DrawAspect="Content" ObjectID="_1848833781" r:id="rId70"/>
        </w:object>
      </w:r>
      <w:r>
        <w:rPr>
          <w:rStyle w:val="CharChar"/>
          <w:rFonts w:hint="default"/>
          <w:color w:val="000000"/>
          <w:sz w:val="24"/>
          <w:szCs w:val="24"/>
        </w:rPr>
        <w:t>。</w:t>
      </w:r>
      <w:r>
        <w:rPr>
          <w:rStyle w:val="CharChar"/>
          <w:rFonts w:hint="default"/>
          <w:color w:val="000000"/>
          <w:sz w:val="24"/>
          <w:szCs w:val="24"/>
        </w:rPr>
        <w:object w:dxaOrig="367" w:dyaOrig="367" w14:anchorId="3F14752A">
          <v:shape id="_x0000_i1056" type="#_x0000_t75" style="width:18pt;height:18pt" o:ole="">
            <v:imagedata r:id="rId71" o:title=""/>
          </v:shape>
          <o:OLEObject Type="Embed" ProgID="Equation.3" ShapeID="_x0000_i1056" DrawAspect="Content" ObjectID="_1848833782" r:id="rId72"/>
        </w:object>
      </w:r>
      <w:r>
        <w:rPr>
          <w:rStyle w:val="CharChar"/>
          <w:rFonts w:hint="default"/>
          <w:color w:val="000000"/>
          <w:sz w:val="24"/>
          <w:szCs w:val="24"/>
        </w:rPr>
        <w:t>计算公式为：</w:t>
      </w:r>
    </w:p>
    <w:p w14:paraId="34424DE3" w14:textId="77777777" w:rsidR="00CD47A0" w:rsidRDefault="00000000">
      <w:pPr>
        <w:adjustRightInd w:val="0"/>
        <w:snapToGrid w:val="0"/>
        <w:spacing w:line="360" w:lineRule="auto"/>
        <w:ind w:firstLineChars="0" w:firstLine="0"/>
        <w:jc w:val="distribute"/>
        <w:rPr>
          <w:sz w:val="24"/>
        </w:rPr>
      </w:pPr>
      <w:r>
        <w:rPr>
          <w:rFonts w:hint="eastAsia"/>
          <w:sz w:val="24"/>
        </w:rPr>
        <w:t xml:space="preserve">                        </w:t>
      </w:r>
      <w:r>
        <w:rPr>
          <w:sz w:val="24"/>
        </w:rPr>
        <w:t xml:space="preserve">  </w:t>
      </w:r>
      <w:r>
        <w:rPr>
          <w:position w:val="-30"/>
          <w:sz w:val="24"/>
        </w:rPr>
        <w:object w:dxaOrig="1821" w:dyaOrig="764" w14:anchorId="0EDF9637">
          <v:shape id="_x0000_i1057" type="#_x0000_t75" style="width:90.75pt;height:38.25pt" o:ole="">
            <v:imagedata r:id="rId73" o:title=""/>
          </v:shape>
          <o:OLEObject Type="Embed" ProgID="Equation.3" ShapeID="_x0000_i1057" DrawAspect="Content" ObjectID="_1848833783" r:id="rId74"/>
        </w:object>
      </w:r>
      <w:r>
        <w:rPr>
          <w:sz w:val="24"/>
        </w:rPr>
        <w:t xml:space="preserve">                      </w:t>
      </w:r>
      <w:r>
        <w:rPr>
          <w:sz w:val="24"/>
        </w:rPr>
        <w:t>（</w:t>
      </w:r>
      <w:r>
        <w:rPr>
          <w:rFonts w:hint="eastAsia"/>
          <w:sz w:val="24"/>
        </w:rPr>
        <w:t>3</w:t>
      </w:r>
      <w:r>
        <w:rPr>
          <w:sz w:val="24"/>
        </w:rPr>
        <w:t>）</w:t>
      </w:r>
    </w:p>
    <w:p w14:paraId="6EB2DD4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式中：</w:t>
      </w:r>
      <w:r>
        <w:rPr>
          <w:rStyle w:val="CharChar"/>
          <w:rFonts w:hint="default"/>
          <w:color w:val="000000"/>
          <w:sz w:val="24"/>
          <w:szCs w:val="24"/>
        </w:rPr>
        <w:object w:dxaOrig="294" w:dyaOrig="367" w14:anchorId="32927A2C">
          <v:shape id="_x0000_i1058" type="#_x0000_t75" style="width:15pt;height:18pt" o:ole="">
            <v:imagedata r:id="rId75" o:title=""/>
          </v:shape>
          <o:OLEObject Type="Embed" ProgID="Equation.3" ShapeID="_x0000_i1058" DrawAspect="Content" ObjectID="_1848833784" r:id="rId76"/>
        </w:object>
      </w:r>
      <w:r>
        <w:rPr>
          <w:rStyle w:val="CharChar"/>
          <w:rFonts w:hint="default"/>
          <w:color w:val="000000"/>
          <w:sz w:val="24"/>
          <w:szCs w:val="24"/>
        </w:rPr>
        <w:t>——</w:t>
      </w:r>
      <w:r>
        <w:rPr>
          <w:rStyle w:val="CharChar"/>
          <w:rFonts w:hint="default"/>
          <w:color w:val="000000"/>
          <w:sz w:val="24"/>
          <w:szCs w:val="24"/>
        </w:rPr>
        <w:t>第</w:t>
      </w:r>
      <w:r>
        <w:rPr>
          <w:rStyle w:val="CharChar"/>
          <w:rFonts w:hint="default"/>
          <w:color w:val="000000"/>
          <w:sz w:val="24"/>
          <w:szCs w:val="24"/>
        </w:rPr>
        <w:object w:dxaOrig="147" w:dyaOrig="264" w14:anchorId="3865BAAF">
          <v:shape id="_x0000_i1059" type="#_x0000_t75" style="width:7.5pt;height:13.5pt" o:ole="">
            <v:imagedata r:id="rId77" o:title=""/>
          </v:shape>
          <o:OLEObject Type="Embed" ProgID="Equation.3" ShapeID="_x0000_i1059" DrawAspect="Content" ObjectID="_1848833785" r:id="rId78"/>
        </w:object>
      </w:r>
      <w:r>
        <w:rPr>
          <w:rStyle w:val="CharChar"/>
          <w:rFonts w:hint="default"/>
          <w:color w:val="000000"/>
          <w:sz w:val="24"/>
          <w:szCs w:val="24"/>
        </w:rPr>
        <w:t>个频点的卡尼亚电阻率或阻抗相位相对误差；</w:t>
      </w:r>
      <w:r>
        <w:rPr>
          <w:rStyle w:val="CharChar"/>
          <w:rFonts w:hint="default"/>
          <w:color w:val="000000"/>
          <w:sz w:val="24"/>
          <w:szCs w:val="24"/>
        </w:rPr>
        <w:object w:dxaOrig="206" w:dyaOrig="220" w14:anchorId="31B7971A">
          <v:shape id="_x0000_i1060" type="#_x0000_t75" style="width:10.5pt;height:11.25pt" o:ole="">
            <v:imagedata r:id="rId79" o:title=""/>
          </v:shape>
          <o:OLEObject Type="Embed" ProgID="Equation.3" ShapeID="_x0000_i1060" DrawAspect="Content" ObjectID="_1848833786" r:id="rId80"/>
        </w:object>
      </w:r>
      <w:r>
        <w:rPr>
          <w:rStyle w:val="CharChar"/>
          <w:rFonts w:hint="default"/>
          <w:color w:val="000000"/>
          <w:sz w:val="24"/>
          <w:szCs w:val="24"/>
        </w:rPr>
        <w:t>——</w:t>
      </w:r>
      <w:r>
        <w:rPr>
          <w:rStyle w:val="CharChar"/>
          <w:rFonts w:hint="default"/>
          <w:color w:val="000000"/>
          <w:sz w:val="24"/>
          <w:szCs w:val="24"/>
        </w:rPr>
        <w:t>检查观测的频点数。</w:t>
      </w:r>
    </w:p>
    <w:p w14:paraId="5EE092A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当同点质量检查结果出现下列情况之一者，应确定为质量不合格：</w:t>
      </w:r>
    </w:p>
    <w:p w14:paraId="6867468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a) </w:t>
      </w:r>
      <w:r>
        <w:rPr>
          <w:rStyle w:val="CharChar"/>
          <w:rFonts w:hint="default"/>
          <w:color w:val="000000"/>
          <w:sz w:val="24"/>
          <w:szCs w:val="24"/>
        </w:rPr>
        <w:object w:dxaOrig="294" w:dyaOrig="367" w14:anchorId="6B2C9DE1">
          <v:shape id="_x0000_i1061" type="#_x0000_t75" style="width:15pt;height:18pt" o:ole="">
            <v:imagedata r:id="rId56" o:title=""/>
          </v:shape>
          <o:OLEObject Type="Embed" ProgID="Equation.3" ShapeID="_x0000_i1061" DrawAspect="Content" ObjectID="_1848833787" r:id="rId81"/>
        </w:object>
      </w:r>
      <w:r>
        <w:rPr>
          <w:rStyle w:val="CharChar"/>
          <w:rFonts w:hint="default"/>
          <w:color w:val="000000"/>
          <w:sz w:val="24"/>
          <w:szCs w:val="24"/>
        </w:rPr>
        <w:t>超过精度的频点数目大于该物理点频点总数的1／3；</w:t>
      </w:r>
    </w:p>
    <w:p w14:paraId="5D09301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b) </w:t>
      </w:r>
      <w:r>
        <w:rPr>
          <w:rStyle w:val="CharChar"/>
          <w:rFonts w:hint="default"/>
          <w:color w:val="000000"/>
          <w:sz w:val="24"/>
          <w:szCs w:val="24"/>
        </w:rPr>
        <w:object w:dxaOrig="294" w:dyaOrig="367" w14:anchorId="29B1ADFC">
          <v:shape id="_x0000_i1062" type="#_x0000_t75" style="width:15pt;height:18pt" o:ole="">
            <v:imagedata r:id="rId56" o:title=""/>
          </v:shape>
          <o:OLEObject Type="Embed" ProgID="Equation.3" ShapeID="_x0000_i1062" DrawAspect="Content" ObjectID="_1848833788" r:id="rId82"/>
        </w:object>
      </w:r>
      <w:r>
        <w:rPr>
          <w:rStyle w:val="CharChar"/>
          <w:rFonts w:hint="default"/>
          <w:color w:val="000000"/>
          <w:sz w:val="24"/>
          <w:szCs w:val="24"/>
        </w:rPr>
        <w:t>超过2倍精度的频点数目大于该物理点频点总数的5%；</w:t>
      </w:r>
    </w:p>
    <w:p w14:paraId="448698A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c) </w:t>
      </w:r>
      <w:r>
        <w:rPr>
          <w:rStyle w:val="CharChar"/>
          <w:rFonts w:hint="default"/>
          <w:color w:val="000000"/>
          <w:sz w:val="24"/>
          <w:szCs w:val="24"/>
        </w:rPr>
        <w:object w:dxaOrig="294" w:dyaOrig="367" w14:anchorId="206C7018">
          <v:shape id="_x0000_i1063" type="#_x0000_t75" style="width:15pt;height:18pt" o:ole="">
            <v:imagedata r:id="rId56" o:title=""/>
          </v:shape>
          <o:OLEObject Type="Embed" ProgID="Equation.3" ShapeID="_x0000_i1063" DrawAspect="Content" ObjectID="_1848833789" r:id="rId83"/>
        </w:object>
      </w:r>
      <w:r>
        <w:rPr>
          <w:rStyle w:val="CharChar"/>
          <w:rFonts w:hint="default"/>
          <w:color w:val="000000"/>
          <w:sz w:val="24"/>
          <w:szCs w:val="24"/>
        </w:rPr>
        <w:t>超过精度的观测值在相邻的3个频点上连续出现；</w:t>
      </w:r>
    </w:p>
    <w:p w14:paraId="7A9C192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均方相对误差</w:t>
      </w:r>
      <w:r>
        <w:rPr>
          <w:rStyle w:val="CharChar"/>
          <w:rFonts w:hint="default"/>
          <w:color w:val="000000"/>
          <w:sz w:val="24"/>
          <w:szCs w:val="24"/>
        </w:rPr>
        <w:object w:dxaOrig="367" w:dyaOrig="367" w14:anchorId="7B15107F">
          <v:shape id="_x0000_i1064" type="#_x0000_t75" style="width:18pt;height:18pt" o:ole="">
            <v:imagedata r:id="rId84" o:title=""/>
          </v:shape>
          <o:OLEObject Type="Embed" ProgID="Equation.3" ShapeID="_x0000_i1064" DrawAspect="Content" ObjectID="_1848833790" r:id="rId85"/>
        </w:object>
      </w:r>
      <w:r>
        <w:rPr>
          <w:rStyle w:val="CharChar"/>
          <w:rFonts w:hint="default"/>
          <w:color w:val="000000"/>
          <w:sz w:val="24"/>
          <w:szCs w:val="24"/>
        </w:rPr>
        <w:t>大于精度（或设计要求的精度）。</w:t>
      </w:r>
    </w:p>
    <w:p w14:paraId="517D29F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7.9.5 全区系统检查观测质量用总均方相对误差</w:t>
      </w:r>
      <w:r>
        <w:rPr>
          <w:rStyle w:val="CharChar"/>
          <w:rFonts w:hint="default"/>
          <w:color w:val="000000"/>
          <w:sz w:val="24"/>
          <w:szCs w:val="24"/>
        </w:rPr>
        <w:object w:dxaOrig="323" w:dyaOrig="264" w14:anchorId="7226D8C9">
          <v:shape id="_x0000_i1065" type="#_x0000_t75" style="width:16.5pt;height:13.5pt" o:ole="">
            <v:imagedata r:id="rId86" o:title=""/>
          </v:shape>
          <o:OLEObject Type="Embed" ProgID="Equation.3" ShapeID="_x0000_i1065" DrawAspect="Content" ObjectID="_1848833791" r:id="rId87"/>
        </w:object>
      </w:r>
      <w:r>
        <w:rPr>
          <w:rStyle w:val="CharChar"/>
          <w:rFonts w:hint="default"/>
          <w:color w:val="000000"/>
          <w:sz w:val="24"/>
          <w:szCs w:val="24"/>
        </w:rPr>
        <w:t>衡量，</w:t>
      </w:r>
      <w:r>
        <w:rPr>
          <w:rStyle w:val="CharChar"/>
          <w:rFonts w:hint="default"/>
          <w:color w:val="000000"/>
          <w:sz w:val="24"/>
          <w:szCs w:val="24"/>
        </w:rPr>
        <w:object w:dxaOrig="323" w:dyaOrig="264" w14:anchorId="57579293">
          <v:shape id="_x0000_i1066" type="#_x0000_t75" style="width:16.5pt;height:13.5pt" o:ole="">
            <v:imagedata r:id="rId88" o:title=""/>
          </v:shape>
          <o:OLEObject Type="Embed" ProgID="Equation.3" ShapeID="_x0000_i1066" DrawAspect="Content" ObjectID="_1848833792" r:id="rId89"/>
        </w:object>
      </w:r>
      <w:r>
        <w:rPr>
          <w:rStyle w:val="CharChar"/>
          <w:rFonts w:hint="default"/>
          <w:color w:val="000000"/>
          <w:sz w:val="24"/>
          <w:szCs w:val="24"/>
        </w:rPr>
        <w:t>应在各个测深点质量评价基础上由卡尼亚电阻率和阻抗相位均方相对误差</w:t>
      </w:r>
      <w:r>
        <w:rPr>
          <w:rStyle w:val="CharChar"/>
          <w:rFonts w:hint="default"/>
          <w:color w:val="000000"/>
          <w:sz w:val="24"/>
          <w:szCs w:val="24"/>
        </w:rPr>
        <w:object w:dxaOrig="367" w:dyaOrig="367" w14:anchorId="559EFF79">
          <v:shape id="_x0000_i1067" type="#_x0000_t75" style="width:18pt;height:18pt" o:ole="">
            <v:imagedata r:id="rId90" o:title=""/>
          </v:shape>
          <o:OLEObject Type="Embed" ProgID="Equation.3" ShapeID="_x0000_i1067" DrawAspect="Content" ObjectID="_1848833793" r:id="rId91"/>
        </w:object>
      </w:r>
      <w:r>
        <w:rPr>
          <w:rStyle w:val="CharChar"/>
          <w:rFonts w:hint="default"/>
          <w:color w:val="000000"/>
          <w:sz w:val="24"/>
          <w:szCs w:val="24"/>
        </w:rPr>
        <w:t>统计得出，统计时不得剔除单个物理点系统检查确定为质量不合格的检查点。全区数据质量合格</w:t>
      </w:r>
      <w:r>
        <w:rPr>
          <w:rStyle w:val="CharChar"/>
          <w:rFonts w:hint="default"/>
          <w:color w:val="000000"/>
          <w:sz w:val="24"/>
          <w:szCs w:val="24"/>
        </w:rPr>
        <w:lastRenderedPageBreak/>
        <w:t>应满足的条件是：质量不合格的检查点数不超过被评价区域内检查点总数的1／3；全区</w:t>
      </w:r>
      <w:r>
        <w:rPr>
          <w:rStyle w:val="CharChar"/>
          <w:rFonts w:hint="default"/>
          <w:color w:val="000000"/>
          <w:sz w:val="24"/>
          <w:szCs w:val="24"/>
        </w:rPr>
        <w:object w:dxaOrig="323" w:dyaOrig="264" w14:anchorId="4FBB9847">
          <v:shape id="_x0000_i1068" type="#_x0000_t75" style="width:16.5pt;height:13.5pt" o:ole="">
            <v:imagedata r:id="rId86" o:title=""/>
          </v:shape>
          <o:OLEObject Type="Embed" ProgID="Equation.3" ShapeID="_x0000_i1068" DrawAspect="Content" ObjectID="_1848833794" r:id="rId92"/>
        </w:object>
      </w:r>
      <w:r>
        <w:rPr>
          <w:rStyle w:val="CharChar"/>
          <w:rFonts w:hint="default"/>
          <w:color w:val="000000"/>
          <w:sz w:val="24"/>
          <w:szCs w:val="24"/>
        </w:rPr>
        <w:t>应满足关于精度的规定或设计要求的精度。</w:t>
      </w:r>
      <w:r>
        <w:rPr>
          <w:rStyle w:val="CharChar"/>
          <w:rFonts w:hint="default"/>
          <w:color w:val="000000"/>
          <w:sz w:val="24"/>
          <w:szCs w:val="24"/>
        </w:rPr>
        <w:object w:dxaOrig="323" w:dyaOrig="264" w14:anchorId="6ACDB508">
          <v:shape id="_x0000_i1069" type="#_x0000_t75" style="width:16.5pt;height:13.5pt" o:ole="">
            <v:imagedata r:id="rId88" o:title=""/>
          </v:shape>
          <o:OLEObject Type="Embed" ProgID="Equation.3" ShapeID="_x0000_i1069" DrawAspect="Content" ObjectID="_1848833795" r:id="rId93"/>
        </w:object>
      </w:r>
      <w:r>
        <w:rPr>
          <w:rStyle w:val="CharChar"/>
          <w:rFonts w:hint="default"/>
          <w:color w:val="000000"/>
          <w:sz w:val="24"/>
          <w:szCs w:val="24"/>
        </w:rPr>
        <w:t>的计算公式为：</w:t>
      </w:r>
    </w:p>
    <w:p w14:paraId="49BF788A" w14:textId="77777777" w:rsidR="00CD47A0" w:rsidRDefault="00000000">
      <w:pPr>
        <w:adjustRightInd w:val="0"/>
        <w:snapToGrid w:val="0"/>
        <w:spacing w:line="360" w:lineRule="auto"/>
        <w:ind w:firstLineChars="600" w:firstLine="1440"/>
        <w:jc w:val="distribute"/>
        <w:rPr>
          <w:sz w:val="24"/>
        </w:rPr>
      </w:pPr>
      <w:r>
        <w:rPr>
          <w:sz w:val="24"/>
        </w:rPr>
        <w:t xml:space="preserve">            </w:t>
      </w:r>
      <w:r>
        <w:rPr>
          <w:rFonts w:hint="eastAsia"/>
          <w:sz w:val="24"/>
        </w:rPr>
        <w:t xml:space="preserve">  </w:t>
      </w:r>
      <w:r>
        <w:rPr>
          <w:sz w:val="24"/>
        </w:rPr>
        <w:t xml:space="preserve"> </w:t>
      </w:r>
      <w:r>
        <w:rPr>
          <w:position w:val="-30"/>
          <w:sz w:val="24"/>
        </w:rPr>
        <w:object w:dxaOrig="1705" w:dyaOrig="764" w14:anchorId="70A6DA8E">
          <v:shape id="_x0000_i1070" type="#_x0000_t75" style="width:85.5pt;height:38.25pt" o:ole="">
            <v:imagedata r:id="rId94" o:title=""/>
          </v:shape>
          <o:OLEObject Type="Embed" ProgID="Equation.3" ShapeID="_x0000_i1070" DrawAspect="Content" ObjectID="_1848833796" r:id="rId95"/>
        </w:object>
      </w:r>
      <w:r>
        <w:rPr>
          <w:sz w:val="24"/>
        </w:rPr>
        <w:t xml:space="preserve">              </w:t>
      </w:r>
      <w:r>
        <w:rPr>
          <w:sz w:val="24"/>
        </w:rPr>
        <w:t>（</w:t>
      </w:r>
      <w:r>
        <w:rPr>
          <w:rFonts w:hint="eastAsia"/>
          <w:sz w:val="24"/>
        </w:rPr>
        <w:t>4</w:t>
      </w:r>
      <w:r>
        <w:rPr>
          <w:sz w:val="24"/>
        </w:rPr>
        <w:t>）</w:t>
      </w:r>
    </w:p>
    <w:p w14:paraId="51802C7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式中：</w:t>
      </w:r>
      <w:r>
        <w:rPr>
          <w:rStyle w:val="CharChar"/>
          <w:rFonts w:hint="default"/>
          <w:color w:val="000000"/>
          <w:sz w:val="24"/>
          <w:szCs w:val="24"/>
        </w:rPr>
        <w:object w:dxaOrig="367" w:dyaOrig="367" w14:anchorId="4C1B7418">
          <v:shape id="_x0000_i1071" type="#_x0000_t75" style="width:18pt;height:18pt" o:ole="">
            <v:imagedata r:id="rId96" o:title=""/>
          </v:shape>
          <o:OLEObject Type="Embed" ProgID="Equation.3" ShapeID="_x0000_i1071" DrawAspect="Content" ObjectID="_1848833797" r:id="rId97"/>
        </w:object>
      </w:r>
      <w:r>
        <w:rPr>
          <w:rStyle w:val="CharChar"/>
          <w:rFonts w:hint="default"/>
          <w:color w:val="000000"/>
          <w:sz w:val="24"/>
          <w:szCs w:val="24"/>
        </w:rPr>
        <w:t>——</w:t>
      </w:r>
      <w:r>
        <w:rPr>
          <w:rStyle w:val="CharChar"/>
          <w:rFonts w:hint="default"/>
          <w:color w:val="000000"/>
          <w:sz w:val="24"/>
          <w:szCs w:val="24"/>
        </w:rPr>
        <w:t>第</w:t>
      </w:r>
      <w:r>
        <w:rPr>
          <w:rStyle w:val="CharChar"/>
          <w:rFonts w:hint="default"/>
          <w:color w:val="000000"/>
          <w:sz w:val="24"/>
          <w:szCs w:val="24"/>
        </w:rPr>
        <w:object w:dxaOrig="147" w:dyaOrig="279" w14:anchorId="544195F5">
          <v:shape id="_x0000_i1072" type="#_x0000_t75" style="width:7.5pt;height:14.25pt" o:ole="">
            <v:imagedata r:id="rId98" o:title=""/>
          </v:shape>
          <o:OLEObject Type="Embed" ProgID="Equation.3" ShapeID="_x0000_i1072" DrawAspect="Content" ObjectID="_1848833798" r:id="rId99"/>
        </w:object>
      </w:r>
      <w:r>
        <w:rPr>
          <w:rStyle w:val="CharChar"/>
          <w:rFonts w:hint="default"/>
          <w:color w:val="000000"/>
          <w:sz w:val="24"/>
          <w:szCs w:val="24"/>
        </w:rPr>
        <w:t>个物理点的均方相对误差；</w:t>
      </w:r>
      <w:r>
        <w:rPr>
          <w:rStyle w:val="CharChar"/>
          <w:rFonts w:hint="default"/>
          <w:color w:val="000000"/>
          <w:sz w:val="24"/>
          <w:szCs w:val="24"/>
        </w:rPr>
        <w:object w:dxaOrig="206" w:dyaOrig="279" w14:anchorId="7322BEA7">
          <v:shape id="_x0000_i1073" type="#_x0000_t75" style="width:10.5pt;height:14.25pt" o:ole="">
            <v:imagedata r:id="rId100" o:title=""/>
          </v:shape>
          <o:OLEObject Type="Embed" ProgID="Equation.3" ShapeID="_x0000_i1073" DrawAspect="Content" ObjectID="_1848833799" r:id="rId101"/>
        </w:object>
      </w:r>
      <w:r>
        <w:rPr>
          <w:rStyle w:val="CharChar"/>
          <w:rFonts w:hint="default"/>
          <w:color w:val="000000"/>
          <w:sz w:val="24"/>
          <w:szCs w:val="24"/>
        </w:rPr>
        <w:t>——</w:t>
      </w:r>
      <w:r>
        <w:rPr>
          <w:rStyle w:val="CharChar"/>
          <w:rFonts w:hint="default"/>
          <w:color w:val="000000"/>
          <w:sz w:val="24"/>
          <w:szCs w:val="24"/>
        </w:rPr>
        <w:t>全区系统检查观测的全部物理点数。</w:t>
      </w:r>
    </w:p>
    <w:p w14:paraId="3D376F8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7.9.6 当质量不合格的检查点数超过被评价区域内检查点总数的1／3时，可增加系统检查工作量（可直至总工作量的20%）后进一步统计，但系统检查观测精度仍旧达不到合格标准时，不得再增加检查工作量，确定为此测区全部观测资料作废。</w:t>
      </w:r>
    </w:p>
    <w:p w14:paraId="12BE901F"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2" w:name="_Toc230353298"/>
      <w:bookmarkStart w:id="33" w:name="_Toc44484718"/>
      <w:r>
        <w:rPr>
          <w:rFonts w:ascii="黑体" w:eastAsia="黑体" w:hAnsi="黑体" w:cs="黑体" w:hint="eastAsia"/>
          <w:b/>
          <w:bCs/>
          <w:sz w:val="24"/>
        </w:rPr>
        <w:t>8 野外资料验收</w:t>
      </w:r>
      <w:bookmarkEnd w:id="32"/>
      <w:bookmarkEnd w:id="33"/>
    </w:p>
    <w:p w14:paraId="33ABB554"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4" w:name="_Toc230353299"/>
      <w:r>
        <w:rPr>
          <w:rFonts w:ascii="黑体" w:eastAsia="黑体" w:hAnsi="黑体" w:cs="黑体" w:hint="eastAsia"/>
          <w:b/>
          <w:bCs/>
          <w:sz w:val="24"/>
        </w:rPr>
        <w:t>8.1 野外作业离场条件</w:t>
      </w:r>
      <w:bookmarkEnd w:id="34"/>
    </w:p>
    <w:p w14:paraId="5D58169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施工单位在结束野外工作前，经自检资料合格，申请验收，验收合格后方可撤离工区。</w:t>
      </w:r>
    </w:p>
    <w:p w14:paraId="17680FE7"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5" w:name="_Toc230353300"/>
      <w:r>
        <w:rPr>
          <w:rFonts w:ascii="黑体" w:eastAsia="黑体" w:hAnsi="黑体" w:cs="黑体" w:hint="eastAsia"/>
          <w:b/>
          <w:bCs/>
          <w:sz w:val="24"/>
        </w:rPr>
        <w:t>8.2 验收时提交如下野外资料</w:t>
      </w:r>
      <w:bookmarkEnd w:id="35"/>
    </w:p>
    <w:p w14:paraId="0E36D15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8.2.1 原始资料：</w:t>
      </w:r>
    </w:p>
    <w:p w14:paraId="680A71F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仪器检查、对比、标定记录薄；</w:t>
      </w:r>
    </w:p>
    <w:p w14:paraId="73C3E04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野外班报；</w:t>
      </w:r>
    </w:p>
    <w:p w14:paraId="3C7F2CA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操作员记录簿；</w:t>
      </w:r>
    </w:p>
    <w:p w14:paraId="75E0D31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测点坐标数据电子文档及打印文件；</w:t>
      </w:r>
    </w:p>
    <w:p w14:paraId="4D0E093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原始数据及其备份。</w:t>
      </w:r>
    </w:p>
    <w:p w14:paraId="2E838AB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8.2.2 现场处理资料</w:t>
      </w:r>
    </w:p>
    <w:p w14:paraId="076DA09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对照野外班报和发射记录，对原始数据进行分段和质量检查，形成频谱、信噪比等现场处理资料；</w:t>
      </w:r>
    </w:p>
    <w:p w14:paraId="13B6A25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卡尼亚电阻率和阻抗相位频率曲线图和拟断面图（电子文档）；</w:t>
      </w:r>
    </w:p>
    <w:p w14:paraId="607EA32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质量检查点误差统计表及曲线；</w:t>
      </w:r>
    </w:p>
    <w:p w14:paraId="75459D7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实际材料图（测网位置、检查点位置、物性测定点位等）；</w:t>
      </w:r>
    </w:p>
    <w:p w14:paraId="0AB745C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其他相关资料；</w:t>
      </w:r>
    </w:p>
    <w:p w14:paraId="33FC07C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8.2.3 野外采集总结报告。</w:t>
      </w:r>
    </w:p>
    <w:p w14:paraId="66C44BFD"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6" w:name="_Toc230353301"/>
      <w:bookmarkStart w:id="37" w:name="_Toc44484719"/>
      <w:r>
        <w:rPr>
          <w:rFonts w:ascii="黑体" w:eastAsia="黑体" w:hAnsi="黑体" w:cs="黑体" w:hint="eastAsia"/>
          <w:b/>
          <w:bCs/>
          <w:sz w:val="24"/>
        </w:rPr>
        <w:lastRenderedPageBreak/>
        <w:t>9 资料处理与解释</w:t>
      </w:r>
      <w:bookmarkEnd w:id="36"/>
      <w:bookmarkEnd w:id="37"/>
    </w:p>
    <w:p w14:paraId="13A4272B"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8" w:name="_Toc230353302"/>
      <w:r>
        <w:rPr>
          <w:rFonts w:ascii="黑体" w:eastAsia="黑体" w:hAnsi="黑体" w:cs="黑体" w:hint="eastAsia"/>
          <w:b/>
          <w:bCs/>
          <w:sz w:val="24"/>
        </w:rPr>
        <w:t>9.1 资料处理</w:t>
      </w:r>
      <w:bookmarkEnd w:id="38"/>
    </w:p>
    <w:p w14:paraId="1B7F529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9.1.1 观测数据处理的内容主要包括：</w:t>
      </w:r>
    </w:p>
    <w:p w14:paraId="7E8F7C7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对照班报及野外采集报告，对有干扰的原始数据进行去噪处理；</w:t>
      </w:r>
    </w:p>
    <w:p w14:paraId="61A78BE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计算卡尼亚电阻率及相位，进行滤波处理；</w:t>
      </w:r>
    </w:p>
    <w:p w14:paraId="73AEAAE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分析卡尼亚电阻率及相位随频率变化的曲线形态，消除静态效应；</w:t>
      </w:r>
    </w:p>
    <w:p w14:paraId="0EE0450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d) 对复杂地形区的资料，进行地形校正； </w:t>
      </w:r>
    </w:p>
    <w:p w14:paraId="4CC4EBF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进行不同反演方法、不同维度的反演处理，得到反演电阻率和深度参数。</w:t>
      </w:r>
    </w:p>
    <w:p w14:paraId="399E4FEF"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39" w:name="_Toc230353303"/>
      <w:r>
        <w:rPr>
          <w:rFonts w:ascii="黑体" w:eastAsia="黑体" w:hAnsi="黑体" w:cs="黑体" w:hint="eastAsia"/>
          <w:b/>
          <w:bCs/>
          <w:sz w:val="24"/>
        </w:rPr>
        <w:t>9.2 资料解释</w:t>
      </w:r>
      <w:bookmarkEnd w:id="39"/>
    </w:p>
    <w:p w14:paraId="096D437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9.2.1 定性解释</w:t>
      </w:r>
    </w:p>
    <w:p w14:paraId="3FC101B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根据相同类型单支卡尼亚电阻率曲线或相位曲线的形态，定性判断地下介质的纵向电性分布。</w:t>
      </w:r>
    </w:p>
    <w:p w14:paraId="6A6AD39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根据全区卡尼亚电阻率曲线或相位曲线的形态，进行曲线类型分析，定性判断地下介质的横向电性分区、异常区域及异常走向与倾向。</w:t>
      </w:r>
    </w:p>
    <w:p w14:paraId="1F4538F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9.2.2 定量解释</w:t>
      </w:r>
    </w:p>
    <w:p w14:paraId="3DA6B95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针对反演断面，结合收集到的地质、地球物理资料进行定量地质解释，得到地质解释剖面。</w:t>
      </w:r>
    </w:p>
    <w:p w14:paraId="40210A2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9.2.3 综合解释</w:t>
      </w:r>
    </w:p>
    <w:p w14:paraId="4E8E97C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针对所有反演断面，对地层、构造、异常规模、形成成因等做综合解释。</w:t>
      </w:r>
    </w:p>
    <w:p w14:paraId="4F61E744"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0" w:name="_Toc230353304"/>
      <w:r>
        <w:rPr>
          <w:rFonts w:ascii="黑体" w:eastAsia="黑体" w:hAnsi="黑体" w:cs="黑体" w:hint="eastAsia"/>
          <w:b/>
          <w:bCs/>
          <w:sz w:val="24"/>
        </w:rPr>
        <w:t>9.3 图件编绘</w:t>
      </w:r>
      <w:bookmarkEnd w:id="40"/>
    </w:p>
    <w:p w14:paraId="79F1EF1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9.3.1 图件编制的基本要求：</w:t>
      </w:r>
    </w:p>
    <w:p w14:paraId="516E724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编图应使用验收合格并经校核的资料；</w:t>
      </w:r>
    </w:p>
    <w:p w14:paraId="1523636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根据地质任务选作必须的图件，做到目的明确，重点突出，内容不重复；</w:t>
      </w:r>
    </w:p>
    <w:p w14:paraId="09A9ADE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图件均应保证图上数据正确、清晰、齐全，线条流畅匀称，图面布局合理、美观；</w:t>
      </w:r>
    </w:p>
    <w:p w14:paraId="4D80587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与其他地球物理、地质或地球化学资料合编叠合图或综合图时，应明确不同资料的来源、图例和解释依据；</w:t>
      </w:r>
    </w:p>
    <w:p w14:paraId="4FCDE0B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同一测区的图幅、格式、符号、字体及同类图的名称必须一致。</w:t>
      </w:r>
    </w:p>
    <w:p w14:paraId="2833658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9.3.2 编制的基础图件：</w:t>
      </w:r>
    </w:p>
    <w:p w14:paraId="56CB1F6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实际材料图；</w:t>
      </w:r>
    </w:p>
    <w:p w14:paraId="4981463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b) 发射信号频谱图集；</w:t>
      </w:r>
    </w:p>
    <w:p w14:paraId="7F7010A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 xml:space="preserve">c) 实测数据电场 、磁场、卡尼亚电阻率及相位曲线图集； </w:t>
      </w:r>
    </w:p>
    <w:p w14:paraId="093C0B5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频率-卡尼亚电阻率 / 相位拟断面图；</w:t>
      </w:r>
    </w:p>
    <w:p w14:paraId="5F8B203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曲线类型图。</w:t>
      </w:r>
    </w:p>
    <w:p w14:paraId="7760504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9.3.3 定量解释图件：</w:t>
      </w:r>
    </w:p>
    <w:p w14:paraId="44F55DC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深度-电阻率等值断面图；</w:t>
      </w:r>
    </w:p>
    <w:p w14:paraId="141BAA5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电性标志层埋藏深度图；</w:t>
      </w:r>
    </w:p>
    <w:p w14:paraId="04624F3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电性标志层厚度图；</w:t>
      </w:r>
    </w:p>
    <w:p w14:paraId="4A854CF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电性分层剖面图；</w:t>
      </w:r>
    </w:p>
    <w:p w14:paraId="76E5853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其他图。</w:t>
      </w:r>
    </w:p>
    <w:p w14:paraId="5E34ED7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9.3.4 综合解释图件：</w:t>
      </w:r>
    </w:p>
    <w:p w14:paraId="2F85ED2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地质、地球物理、地球化学、钻孔综合解释图；</w:t>
      </w:r>
    </w:p>
    <w:p w14:paraId="3FE6E61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构造走向、连通平面图；</w:t>
      </w:r>
    </w:p>
    <w:p w14:paraId="1816487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其他地质推断、预测图。</w:t>
      </w:r>
    </w:p>
    <w:p w14:paraId="29E7C378"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1" w:name="_Toc44484720"/>
      <w:bookmarkStart w:id="42" w:name="_Toc230353305"/>
      <w:r>
        <w:rPr>
          <w:rFonts w:ascii="黑体" w:eastAsia="黑体" w:hAnsi="黑体" w:cs="黑体" w:hint="eastAsia"/>
          <w:b/>
          <w:bCs/>
          <w:sz w:val="24"/>
        </w:rPr>
        <w:t>10 成果报告编写</w:t>
      </w:r>
      <w:bookmarkEnd w:id="41"/>
      <w:bookmarkEnd w:id="42"/>
    </w:p>
    <w:p w14:paraId="3B42A73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3" w:name="_Toc230353306"/>
      <w:r>
        <w:rPr>
          <w:rFonts w:ascii="黑体" w:eastAsia="黑体" w:hAnsi="黑体" w:cs="黑体" w:hint="eastAsia"/>
          <w:b/>
          <w:bCs/>
          <w:sz w:val="24"/>
        </w:rPr>
        <w:t>10.1 成果报告编写的基本要求</w:t>
      </w:r>
      <w:bookmarkEnd w:id="43"/>
    </w:p>
    <w:p w14:paraId="0714B90D"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10.1.1 野外工作、资料处理和解释完成后，应提交完整的成果报告。工作分阶段实施时，可按合同或任务书提交阶段报告，并在项目完成后提交总体成果报告和实际材料图。</w:t>
      </w:r>
    </w:p>
    <w:p w14:paraId="410BEEA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10.1.2 随着野外工作的开始，应有计划地系统收集、整理所需要的资料。</w:t>
      </w:r>
    </w:p>
    <w:p w14:paraId="01D0639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10.1.3 成果报告编写由专人负责，在合同（或任务书）规定的时间内完成；</w:t>
      </w:r>
    </w:p>
    <w:p w14:paraId="3288DA7E"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10.1.4 报告所用资料必须是经质量验收合格的正式资料；</w:t>
      </w:r>
    </w:p>
    <w:p w14:paraId="4732D05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10.1.5 成果报告应在全面系统掌握资料的基础上，经过研究及综合分析对比后，做出有依据、符合客观实际的结论；</w:t>
      </w:r>
    </w:p>
    <w:p w14:paraId="036E9B4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10.1.6 成果报告应实事求是、内容全面、重点突出、文字简练、论述有据、推断合理、结构严谨。</w:t>
      </w:r>
    </w:p>
    <w:p w14:paraId="4547C33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10.1.7 报告附图、附件应目的明确、编排合理、美观整洁，文字说明简练、清楚。</w:t>
      </w:r>
    </w:p>
    <w:p w14:paraId="6D1804D1"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4" w:name="_Toc230353307"/>
      <w:r>
        <w:rPr>
          <w:rFonts w:ascii="黑体" w:eastAsia="黑体" w:hAnsi="黑体" w:cs="黑体" w:hint="eastAsia"/>
          <w:b/>
          <w:bCs/>
          <w:sz w:val="24"/>
        </w:rPr>
        <w:t>10.2 成果报告内容</w:t>
      </w:r>
      <w:bookmarkEnd w:id="44"/>
    </w:p>
    <w:p w14:paraId="4D7DB3D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10.2.1 成果报告的正文包括：</w:t>
      </w:r>
    </w:p>
    <w:p w14:paraId="6A69514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前言（承担的地质任务及完成情况）</w:t>
      </w:r>
    </w:p>
    <w:p w14:paraId="65606C5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工区位置、概况、前人工作程度和主要研究成果；</w:t>
      </w:r>
    </w:p>
    <w:p w14:paraId="3F28DAA9"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测区地质及地球物理特征；</w:t>
      </w:r>
    </w:p>
    <w:p w14:paraId="1D5960C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野外工作方法与采集资料质量情况；</w:t>
      </w:r>
    </w:p>
    <w:p w14:paraId="08E3AFC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资料处理及解释方法；</w:t>
      </w:r>
    </w:p>
    <w:p w14:paraId="21DA4EB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f）地质解释成果；</w:t>
      </w:r>
    </w:p>
    <w:p w14:paraId="4F098C08"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g) 结论与建议。</w:t>
      </w:r>
    </w:p>
    <w:p w14:paraId="3C4DDD6F"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10.2.2 成果报告主要图件包括：</w:t>
      </w:r>
    </w:p>
    <w:p w14:paraId="1234AC9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实际材料图（测网位置、检查点位置、物性测定点位、干扰源位置和比例尺等）；</w:t>
      </w:r>
    </w:p>
    <w:p w14:paraId="09CDD85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典型测点信号分析谱图；</w:t>
      </w:r>
    </w:p>
    <w:p w14:paraId="38F1B0B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典型电场、磁场、卡尼亚电阻率及相位曲线图和卡尼亚电阻率、相位拟断面图；</w:t>
      </w:r>
    </w:p>
    <w:p w14:paraId="2B1522EA"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电阻率-深度反演断面图；对面积性工作，可根据需要增加不同深度的电阻率平面图或三维电阻率图；</w:t>
      </w:r>
    </w:p>
    <w:p w14:paraId="64E93AF4"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e) 推断地质断面图；</w:t>
      </w:r>
    </w:p>
    <w:p w14:paraId="62879B9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f) 推断构造平面图。</w:t>
      </w:r>
    </w:p>
    <w:p w14:paraId="076836B0"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5" w:name="_Toc230353308"/>
      <w:r>
        <w:rPr>
          <w:rFonts w:ascii="黑体" w:eastAsia="黑体" w:hAnsi="黑体" w:cs="黑体" w:hint="eastAsia"/>
          <w:b/>
          <w:bCs/>
          <w:sz w:val="24"/>
        </w:rPr>
        <w:t>11 成果验收</w:t>
      </w:r>
      <w:bookmarkEnd w:id="45"/>
    </w:p>
    <w:p w14:paraId="4406C113"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成果报告完成后，项目负责单位应组织成果验收，并依据合同或任务书、技术设计和本文件，对工作完成情况、数据质量、解释依据及成果可靠性进行评价。验收时应提交下列资料：</w:t>
      </w:r>
    </w:p>
    <w:p w14:paraId="5229C626"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6" w:name="_Toc230353309"/>
      <w:r>
        <w:rPr>
          <w:rFonts w:ascii="黑体" w:eastAsia="黑体" w:hAnsi="黑体" w:cs="黑体" w:hint="eastAsia"/>
          <w:b/>
          <w:bCs/>
          <w:sz w:val="24"/>
        </w:rPr>
        <w:t>11.1 原始资料</w:t>
      </w:r>
      <w:bookmarkEnd w:id="46"/>
    </w:p>
    <w:p w14:paraId="27A38E40"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合同/任务书；</w:t>
      </w:r>
    </w:p>
    <w:p w14:paraId="4894FD0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野外班报；</w:t>
      </w:r>
    </w:p>
    <w:p w14:paraId="16BCA05C"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测点坐标数据；</w:t>
      </w:r>
    </w:p>
    <w:p w14:paraId="5D60AB95"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 野外采集总结报告。</w:t>
      </w:r>
    </w:p>
    <w:p w14:paraId="60A35BE1"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7" w:name="_Toc230353310"/>
      <w:r>
        <w:rPr>
          <w:rFonts w:ascii="黑体" w:eastAsia="黑体" w:hAnsi="黑体" w:cs="黑体" w:hint="eastAsia"/>
          <w:b/>
          <w:bCs/>
          <w:sz w:val="24"/>
        </w:rPr>
        <w:t>11.2 预处理资料</w:t>
      </w:r>
      <w:bookmarkEnd w:id="47"/>
    </w:p>
    <w:p w14:paraId="76089E07"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发射信号的频谱图册。</w:t>
      </w:r>
    </w:p>
    <w:p w14:paraId="43A363D6"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lastRenderedPageBreak/>
        <w:t>b) 电场、磁场、卡尼亚电阻率和阻抗相位频率曲线图册；</w:t>
      </w:r>
    </w:p>
    <w:p w14:paraId="6E39D4C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其他相关资料。</w:t>
      </w:r>
    </w:p>
    <w:p w14:paraId="3BA55799" w14:textId="77777777" w:rsidR="00CD47A0" w:rsidRDefault="00000000">
      <w:pPr>
        <w:adjustRightInd w:val="0"/>
        <w:snapToGrid w:val="0"/>
        <w:spacing w:line="360" w:lineRule="auto"/>
        <w:ind w:firstLineChars="0" w:firstLine="0"/>
        <w:outlineLvl w:val="0"/>
        <w:rPr>
          <w:rFonts w:ascii="黑体" w:eastAsia="黑体" w:hAnsi="黑体" w:cs="黑体" w:hint="eastAsia"/>
          <w:b/>
          <w:bCs/>
          <w:sz w:val="24"/>
        </w:rPr>
      </w:pPr>
      <w:bookmarkStart w:id="48" w:name="_Toc230353311"/>
      <w:r>
        <w:rPr>
          <w:rFonts w:ascii="黑体" w:eastAsia="黑体" w:hAnsi="黑体" w:cs="黑体" w:hint="eastAsia"/>
          <w:b/>
          <w:bCs/>
          <w:sz w:val="24"/>
        </w:rPr>
        <w:t>11.3 成果报告</w:t>
      </w:r>
      <w:bookmarkEnd w:id="48"/>
    </w:p>
    <w:p w14:paraId="511E592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a) 项目来源；</w:t>
      </w:r>
    </w:p>
    <w:p w14:paraId="144E2AF2"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b) 工作过程与质量控制；</w:t>
      </w:r>
    </w:p>
    <w:p w14:paraId="15D2453B"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c) 成果产生过程；</w:t>
      </w:r>
    </w:p>
    <w:p w14:paraId="3EB6AE91" w14:textId="77777777" w:rsidR="00CD47A0" w:rsidRDefault="00000000">
      <w:pPr>
        <w:pStyle w:val="af5"/>
        <w:ind w:firstLine="480"/>
        <w:rPr>
          <w:rStyle w:val="CharChar"/>
          <w:rFonts w:hint="default"/>
          <w:color w:val="000000"/>
          <w:sz w:val="24"/>
          <w:szCs w:val="24"/>
        </w:rPr>
      </w:pPr>
      <w:r>
        <w:rPr>
          <w:rStyle w:val="CharChar"/>
          <w:rFonts w:hint="default"/>
          <w:color w:val="000000"/>
          <w:sz w:val="24"/>
          <w:szCs w:val="24"/>
        </w:rPr>
        <w:t>d）验证情况。</w:t>
      </w:r>
    </w:p>
    <w:p w14:paraId="0153CB1E" w14:textId="77777777" w:rsidR="00CD47A0" w:rsidRDefault="00CD47A0">
      <w:pPr>
        <w:adjustRightInd w:val="0"/>
        <w:snapToGrid w:val="0"/>
        <w:spacing w:line="360" w:lineRule="auto"/>
        <w:ind w:firstLine="480"/>
        <w:rPr>
          <w:sz w:val="24"/>
        </w:rPr>
      </w:pPr>
    </w:p>
    <w:p w14:paraId="06A3FA98" w14:textId="77777777" w:rsidR="00CD47A0" w:rsidRDefault="00000000">
      <w:pPr>
        <w:adjustRightInd w:val="0"/>
        <w:snapToGrid w:val="0"/>
        <w:spacing w:line="360" w:lineRule="auto"/>
        <w:ind w:firstLine="482"/>
        <w:rPr>
          <w:rFonts w:asciiTheme="majorEastAsia" w:eastAsiaTheme="majorEastAsia" w:hAnsiTheme="majorEastAsia" w:cstheme="majorEastAsia" w:hint="eastAsia"/>
          <w:sz w:val="24"/>
        </w:rPr>
      </w:pPr>
      <w:r>
        <w:rPr>
          <w:b/>
          <w:sz w:val="24"/>
        </w:rPr>
        <w:br w:type="page"/>
      </w:r>
      <w:bookmarkStart w:id="49" w:name="_Toc83800954"/>
      <w:bookmarkStart w:id="50" w:name="_Toc83801051"/>
      <w:bookmarkEnd w:id="49"/>
      <w:bookmarkEnd w:id="50"/>
    </w:p>
    <w:p w14:paraId="5BD151A4" w14:textId="77777777" w:rsidR="00CD47A0" w:rsidRDefault="00CD47A0">
      <w:pPr>
        <w:adjustRightInd w:val="0"/>
        <w:snapToGrid w:val="0"/>
        <w:spacing w:line="360" w:lineRule="auto"/>
        <w:ind w:firstLine="482"/>
        <w:jc w:val="left"/>
        <w:rPr>
          <w:rFonts w:ascii="Agency FB" w:hAnsi="Agency FB"/>
          <w:b/>
          <w:sz w:val="24"/>
        </w:rPr>
      </w:pPr>
    </w:p>
    <w:p w14:paraId="0835DD4D" w14:textId="77777777" w:rsidR="00CD47A0" w:rsidRDefault="00000000">
      <w:pPr>
        <w:adjustRightInd w:val="0"/>
        <w:snapToGrid w:val="0"/>
        <w:spacing w:line="360" w:lineRule="auto"/>
        <w:ind w:firstLineChars="0" w:firstLine="0"/>
        <w:outlineLvl w:val="0"/>
        <w:rPr>
          <w:b/>
          <w:sz w:val="24"/>
        </w:rPr>
      </w:pPr>
      <w:bookmarkStart w:id="51" w:name="_Toc230353312"/>
      <w:r>
        <w:rPr>
          <w:b/>
          <w:sz w:val="24"/>
        </w:rPr>
        <w:t>附录</w:t>
      </w:r>
      <w:proofErr w:type="gramStart"/>
      <w:r>
        <w:rPr>
          <w:rFonts w:hint="eastAsia"/>
          <w:b/>
          <w:sz w:val="24"/>
        </w:rPr>
        <w:t xml:space="preserve">A  </w:t>
      </w:r>
      <w:r>
        <w:rPr>
          <w:b/>
          <w:sz w:val="24"/>
        </w:rPr>
        <w:t>极低频电磁法</w:t>
      </w:r>
      <w:r>
        <w:rPr>
          <w:rFonts w:hint="eastAsia"/>
          <w:b/>
          <w:sz w:val="24"/>
        </w:rPr>
        <w:t>接收设备技术指标</w:t>
      </w:r>
      <w:proofErr w:type="gramEnd"/>
      <w:r>
        <w:rPr>
          <w:rFonts w:hint="eastAsia"/>
          <w:b/>
          <w:sz w:val="24"/>
        </w:rPr>
        <w:t>（资料性）</w:t>
      </w:r>
      <w:bookmarkEnd w:id="51"/>
    </w:p>
    <w:p w14:paraId="15778999" w14:textId="77777777" w:rsidR="00CD47A0" w:rsidRDefault="00000000">
      <w:pPr>
        <w:pStyle w:val="a6"/>
        <w:spacing w:beforeLines="0" w:afterLines="0" w:line="360" w:lineRule="auto"/>
        <w:ind w:firstLine="482"/>
        <w:rPr>
          <w:sz w:val="24"/>
          <w:szCs w:val="24"/>
        </w:rPr>
      </w:pPr>
      <w:r>
        <w:rPr>
          <w:rFonts w:hint="eastAsia"/>
          <w:sz w:val="24"/>
          <w:szCs w:val="24"/>
        </w:rPr>
        <w:t>附录</w:t>
      </w:r>
      <w:r>
        <w:rPr>
          <w:rFonts w:hint="eastAsia"/>
          <w:sz w:val="24"/>
          <w:szCs w:val="24"/>
        </w:rPr>
        <w:t xml:space="preserve">A.1 </w:t>
      </w:r>
      <w:r>
        <w:rPr>
          <w:rFonts w:hint="eastAsia"/>
          <w:sz w:val="24"/>
          <w:szCs w:val="24"/>
        </w:rPr>
        <w:t>接收机技术指标</w:t>
      </w: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51"/>
        <w:gridCol w:w="5670"/>
        <w:gridCol w:w="1418"/>
      </w:tblGrid>
      <w:tr w:rsidR="00CD47A0" w14:paraId="2444AD16" w14:textId="77777777">
        <w:trPr>
          <w:jc w:val="center"/>
        </w:trPr>
        <w:tc>
          <w:tcPr>
            <w:tcW w:w="1951" w:type="dxa"/>
            <w:tcBorders>
              <w:bottom w:val="single" w:sz="12" w:space="0" w:color="auto"/>
            </w:tcBorders>
            <w:vAlign w:val="center"/>
          </w:tcPr>
          <w:p w14:paraId="25E67605" w14:textId="77777777" w:rsidR="00CD47A0" w:rsidRDefault="00000000">
            <w:pPr>
              <w:adjustRightInd w:val="0"/>
              <w:snapToGrid w:val="0"/>
              <w:spacing w:line="360" w:lineRule="auto"/>
              <w:ind w:firstLineChars="0" w:firstLine="0"/>
              <w:jc w:val="center"/>
              <w:rPr>
                <w:sz w:val="24"/>
              </w:rPr>
            </w:pPr>
            <w:proofErr w:type="gramStart"/>
            <w:r>
              <w:rPr>
                <w:rFonts w:hint="eastAsia"/>
                <w:sz w:val="24"/>
              </w:rPr>
              <w:t>参</w:t>
            </w:r>
            <w:r>
              <w:rPr>
                <w:rFonts w:hint="eastAsia"/>
                <w:sz w:val="24"/>
              </w:rPr>
              <w:t xml:space="preserve">  </w:t>
            </w:r>
            <w:r>
              <w:rPr>
                <w:rFonts w:hint="eastAsia"/>
                <w:sz w:val="24"/>
              </w:rPr>
              <w:t>数</w:t>
            </w:r>
            <w:proofErr w:type="gramEnd"/>
          </w:p>
        </w:tc>
        <w:tc>
          <w:tcPr>
            <w:tcW w:w="5670" w:type="dxa"/>
            <w:tcBorders>
              <w:bottom w:val="single" w:sz="12" w:space="0" w:color="auto"/>
            </w:tcBorders>
            <w:vAlign w:val="center"/>
          </w:tcPr>
          <w:p w14:paraId="154A6394" w14:textId="77777777" w:rsidR="00CD47A0" w:rsidRDefault="00000000">
            <w:pPr>
              <w:adjustRightInd w:val="0"/>
              <w:snapToGrid w:val="0"/>
              <w:spacing w:line="360" w:lineRule="auto"/>
              <w:ind w:firstLineChars="0" w:firstLine="0"/>
              <w:jc w:val="center"/>
              <w:rPr>
                <w:sz w:val="24"/>
              </w:rPr>
            </w:pPr>
            <w:r>
              <w:rPr>
                <w:rFonts w:hint="eastAsia"/>
                <w:sz w:val="24"/>
              </w:rPr>
              <w:t>技术指标</w:t>
            </w:r>
          </w:p>
        </w:tc>
        <w:tc>
          <w:tcPr>
            <w:tcW w:w="1418" w:type="dxa"/>
            <w:tcBorders>
              <w:bottom w:val="single" w:sz="12" w:space="0" w:color="auto"/>
            </w:tcBorders>
            <w:vAlign w:val="center"/>
          </w:tcPr>
          <w:p w14:paraId="61DADC5C" w14:textId="77777777" w:rsidR="00CD47A0" w:rsidRDefault="00000000">
            <w:pPr>
              <w:adjustRightInd w:val="0"/>
              <w:snapToGrid w:val="0"/>
              <w:spacing w:line="360" w:lineRule="auto"/>
              <w:ind w:firstLineChars="0" w:firstLine="0"/>
              <w:jc w:val="center"/>
              <w:rPr>
                <w:sz w:val="24"/>
              </w:rPr>
            </w:pPr>
            <w:proofErr w:type="gramStart"/>
            <w:r>
              <w:rPr>
                <w:rFonts w:hint="eastAsia"/>
                <w:sz w:val="24"/>
              </w:rPr>
              <w:t>备</w:t>
            </w:r>
            <w:r>
              <w:rPr>
                <w:rFonts w:hint="eastAsia"/>
                <w:sz w:val="24"/>
              </w:rPr>
              <w:t xml:space="preserve">  </w:t>
            </w:r>
            <w:r>
              <w:rPr>
                <w:rFonts w:hint="eastAsia"/>
                <w:sz w:val="24"/>
              </w:rPr>
              <w:t>注</w:t>
            </w:r>
            <w:proofErr w:type="gramEnd"/>
          </w:p>
        </w:tc>
      </w:tr>
      <w:tr w:rsidR="00CD47A0" w14:paraId="71E2EE20" w14:textId="77777777">
        <w:trPr>
          <w:jc w:val="center"/>
        </w:trPr>
        <w:tc>
          <w:tcPr>
            <w:tcW w:w="1951" w:type="dxa"/>
            <w:vAlign w:val="center"/>
          </w:tcPr>
          <w:p w14:paraId="79B0DB89" w14:textId="77777777" w:rsidR="00CD47A0" w:rsidRDefault="00000000">
            <w:pPr>
              <w:adjustRightInd w:val="0"/>
              <w:snapToGrid w:val="0"/>
              <w:spacing w:line="360" w:lineRule="auto"/>
              <w:ind w:firstLineChars="0" w:firstLine="0"/>
              <w:jc w:val="center"/>
              <w:rPr>
                <w:sz w:val="24"/>
              </w:rPr>
            </w:pPr>
            <w:proofErr w:type="gramStart"/>
            <w:r>
              <w:rPr>
                <w:rFonts w:hint="eastAsia"/>
                <w:sz w:val="24"/>
              </w:rPr>
              <w:t>带</w:t>
            </w:r>
            <w:r>
              <w:rPr>
                <w:rFonts w:hint="eastAsia"/>
                <w:sz w:val="24"/>
              </w:rPr>
              <w:t xml:space="preserve">  </w:t>
            </w:r>
            <w:r>
              <w:rPr>
                <w:rFonts w:hint="eastAsia"/>
                <w:sz w:val="24"/>
              </w:rPr>
              <w:t>宽</w:t>
            </w:r>
            <w:proofErr w:type="gramEnd"/>
          </w:p>
        </w:tc>
        <w:tc>
          <w:tcPr>
            <w:tcW w:w="5670" w:type="dxa"/>
            <w:vAlign w:val="center"/>
          </w:tcPr>
          <w:p w14:paraId="10E31FF7" w14:textId="77777777" w:rsidR="00CD47A0" w:rsidRDefault="00000000">
            <w:pPr>
              <w:adjustRightInd w:val="0"/>
              <w:snapToGrid w:val="0"/>
              <w:spacing w:line="360" w:lineRule="auto"/>
              <w:ind w:firstLineChars="0" w:firstLine="0"/>
              <w:jc w:val="center"/>
              <w:rPr>
                <w:sz w:val="24"/>
              </w:rPr>
            </w:pPr>
            <w:r>
              <w:rPr>
                <w:rFonts w:hint="eastAsia"/>
                <w:sz w:val="24"/>
              </w:rPr>
              <w:t>DC-10KHz</w:t>
            </w:r>
          </w:p>
        </w:tc>
        <w:tc>
          <w:tcPr>
            <w:tcW w:w="1418" w:type="dxa"/>
            <w:vAlign w:val="center"/>
          </w:tcPr>
          <w:p w14:paraId="744E10AF" w14:textId="77777777" w:rsidR="00CD47A0" w:rsidRDefault="00CD47A0">
            <w:pPr>
              <w:adjustRightInd w:val="0"/>
              <w:snapToGrid w:val="0"/>
              <w:spacing w:line="360" w:lineRule="auto"/>
              <w:ind w:firstLineChars="0" w:firstLine="0"/>
              <w:jc w:val="center"/>
              <w:rPr>
                <w:sz w:val="24"/>
              </w:rPr>
            </w:pPr>
          </w:p>
        </w:tc>
      </w:tr>
      <w:tr w:rsidR="00CD47A0" w14:paraId="1F06F64D" w14:textId="77777777">
        <w:trPr>
          <w:jc w:val="center"/>
        </w:trPr>
        <w:tc>
          <w:tcPr>
            <w:tcW w:w="1951" w:type="dxa"/>
            <w:vAlign w:val="center"/>
          </w:tcPr>
          <w:p w14:paraId="29D638D6" w14:textId="77777777" w:rsidR="00CD47A0" w:rsidRDefault="00000000">
            <w:pPr>
              <w:adjustRightInd w:val="0"/>
              <w:snapToGrid w:val="0"/>
              <w:spacing w:line="360" w:lineRule="auto"/>
              <w:ind w:firstLineChars="0" w:firstLine="0"/>
              <w:jc w:val="center"/>
              <w:rPr>
                <w:sz w:val="24"/>
              </w:rPr>
            </w:pPr>
            <w:r>
              <w:rPr>
                <w:rFonts w:hint="eastAsia"/>
                <w:sz w:val="24"/>
              </w:rPr>
              <w:t>A/D</w:t>
            </w:r>
            <w:r>
              <w:rPr>
                <w:rFonts w:hint="eastAsia"/>
                <w:sz w:val="24"/>
              </w:rPr>
              <w:t>转换器</w:t>
            </w:r>
          </w:p>
        </w:tc>
        <w:tc>
          <w:tcPr>
            <w:tcW w:w="5670" w:type="dxa"/>
            <w:vAlign w:val="center"/>
          </w:tcPr>
          <w:p w14:paraId="1A4F4349" w14:textId="77777777" w:rsidR="00CD47A0" w:rsidRDefault="00000000">
            <w:pPr>
              <w:adjustRightInd w:val="0"/>
              <w:snapToGrid w:val="0"/>
              <w:spacing w:line="360" w:lineRule="auto"/>
              <w:ind w:firstLineChars="0" w:firstLine="0"/>
              <w:jc w:val="center"/>
              <w:rPr>
                <w:sz w:val="24"/>
              </w:rPr>
            </w:pPr>
            <w:r>
              <w:rPr>
                <w:rFonts w:hint="eastAsia"/>
                <w:sz w:val="24"/>
              </w:rPr>
              <w:t>24</w:t>
            </w:r>
            <w:r>
              <w:rPr>
                <w:rFonts w:hint="eastAsia"/>
                <w:sz w:val="24"/>
              </w:rPr>
              <w:t>位，低频采样率</w:t>
            </w:r>
            <w:r>
              <w:rPr>
                <w:rFonts w:hint="eastAsia"/>
                <w:sz w:val="24"/>
              </w:rPr>
              <w:t>2400Hz</w:t>
            </w:r>
            <w:r>
              <w:rPr>
                <w:rFonts w:hint="eastAsia"/>
                <w:sz w:val="24"/>
              </w:rPr>
              <w:t>，高频采样率</w:t>
            </w:r>
            <w:r>
              <w:rPr>
                <w:rFonts w:hint="eastAsia"/>
                <w:sz w:val="24"/>
              </w:rPr>
              <w:t>600 kHz</w:t>
            </w:r>
          </w:p>
        </w:tc>
        <w:tc>
          <w:tcPr>
            <w:tcW w:w="1418" w:type="dxa"/>
            <w:vAlign w:val="center"/>
          </w:tcPr>
          <w:p w14:paraId="6DD4FD51" w14:textId="77777777" w:rsidR="00CD47A0" w:rsidRDefault="00CD47A0">
            <w:pPr>
              <w:adjustRightInd w:val="0"/>
              <w:snapToGrid w:val="0"/>
              <w:spacing w:line="360" w:lineRule="auto"/>
              <w:ind w:firstLineChars="0" w:firstLine="0"/>
              <w:jc w:val="center"/>
              <w:rPr>
                <w:sz w:val="24"/>
              </w:rPr>
            </w:pPr>
          </w:p>
        </w:tc>
      </w:tr>
      <w:tr w:rsidR="00CD47A0" w14:paraId="13DC0162" w14:textId="77777777">
        <w:trPr>
          <w:jc w:val="center"/>
        </w:trPr>
        <w:tc>
          <w:tcPr>
            <w:tcW w:w="1951" w:type="dxa"/>
            <w:vAlign w:val="center"/>
          </w:tcPr>
          <w:p w14:paraId="6923B4C6" w14:textId="77777777" w:rsidR="00CD47A0" w:rsidRDefault="00000000">
            <w:pPr>
              <w:adjustRightInd w:val="0"/>
              <w:snapToGrid w:val="0"/>
              <w:spacing w:line="360" w:lineRule="auto"/>
              <w:ind w:firstLineChars="0" w:firstLine="0"/>
              <w:jc w:val="center"/>
              <w:rPr>
                <w:sz w:val="24"/>
              </w:rPr>
            </w:pPr>
            <w:r>
              <w:rPr>
                <w:rFonts w:hint="eastAsia"/>
                <w:sz w:val="24"/>
              </w:rPr>
              <w:t>动态范围</w:t>
            </w:r>
          </w:p>
        </w:tc>
        <w:tc>
          <w:tcPr>
            <w:tcW w:w="5670" w:type="dxa"/>
            <w:vAlign w:val="center"/>
          </w:tcPr>
          <w:p w14:paraId="19DAF0BD" w14:textId="77777777" w:rsidR="00CD47A0" w:rsidRDefault="00000000">
            <w:pPr>
              <w:adjustRightInd w:val="0"/>
              <w:snapToGrid w:val="0"/>
              <w:spacing w:line="360" w:lineRule="auto"/>
              <w:ind w:firstLineChars="0" w:firstLine="0"/>
              <w:jc w:val="center"/>
              <w:rPr>
                <w:sz w:val="24"/>
              </w:rPr>
            </w:pPr>
            <w:r>
              <w:rPr>
                <w:rFonts w:hint="eastAsia"/>
                <w:sz w:val="24"/>
              </w:rPr>
              <w:t>&gt;130 dB</w:t>
            </w:r>
          </w:p>
        </w:tc>
        <w:tc>
          <w:tcPr>
            <w:tcW w:w="1418" w:type="dxa"/>
            <w:vAlign w:val="center"/>
          </w:tcPr>
          <w:p w14:paraId="7F525035" w14:textId="77777777" w:rsidR="00CD47A0" w:rsidRDefault="00CD47A0">
            <w:pPr>
              <w:adjustRightInd w:val="0"/>
              <w:snapToGrid w:val="0"/>
              <w:spacing w:line="360" w:lineRule="auto"/>
              <w:ind w:firstLineChars="0" w:firstLine="0"/>
              <w:jc w:val="center"/>
              <w:rPr>
                <w:sz w:val="24"/>
              </w:rPr>
            </w:pPr>
          </w:p>
        </w:tc>
      </w:tr>
      <w:tr w:rsidR="00CD47A0" w14:paraId="3CA51AFF" w14:textId="77777777">
        <w:trPr>
          <w:jc w:val="center"/>
        </w:trPr>
        <w:tc>
          <w:tcPr>
            <w:tcW w:w="1951" w:type="dxa"/>
            <w:vAlign w:val="center"/>
          </w:tcPr>
          <w:p w14:paraId="7A2DD774" w14:textId="77777777" w:rsidR="00CD47A0" w:rsidRDefault="00000000">
            <w:pPr>
              <w:adjustRightInd w:val="0"/>
              <w:snapToGrid w:val="0"/>
              <w:spacing w:line="360" w:lineRule="auto"/>
              <w:ind w:firstLineChars="0" w:firstLine="0"/>
              <w:jc w:val="center"/>
              <w:rPr>
                <w:sz w:val="24"/>
              </w:rPr>
            </w:pPr>
            <w:r>
              <w:rPr>
                <w:rFonts w:hint="eastAsia"/>
                <w:sz w:val="24"/>
              </w:rPr>
              <w:t>存贮介质</w:t>
            </w:r>
          </w:p>
        </w:tc>
        <w:tc>
          <w:tcPr>
            <w:tcW w:w="5670" w:type="dxa"/>
            <w:vAlign w:val="center"/>
          </w:tcPr>
          <w:p w14:paraId="4BAF6896" w14:textId="77777777" w:rsidR="00CD47A0" w:rsidRDefault="00000000">
            <w:pPr>
              <w:adjustRightInd w:val="0"/>
              <w:snapToGrid w:val="0"/>
              <w:spacing w:line="360" w:lineRule="auto"/>
              <w:ind w:firstLineChars="0" w:firstLine="0"/>
              <w:jc w:val="center"/>
              <w:rPr>
                <w:sz w:val="24"/>
              </w:rPr>
            </w:pPr>
            <w:r>
              <w:rPr>
                <w:rFonts w:hint="eastAsia"/>
                <w:sz w:val="24"/>
              </w:rPr>
              <w:t>32G SD</w:t>
            </w:r>
            <w:r>
              <w:rPr>
                <w:rFonts w:hint="eastAsia"/>
                <w:sz w:val="24"/>
              </w:rPr>
              <w:t>卡</w:t>
            </w:r>
          </w:p>
        </w:tc>
        <w:tc>
          <w:tcPr>
            <w:tcW w:w="1418" w:type="dxa"/>
            <w:vAlign w:val="center"/>
          </w:tcPr>
          <w:p w14:paraId="234C2E9E" w14:textId="77777777" w:rsidR="00CD47A0" w:rsidRDefault="00CD47A0">
            <w:pPr>
              <w:adjustRightInd w:val="0"/>
              <w:snapToGrid w:val="0"/>
              <w:spacing w:line="360" w:lineRule="auto"/>
              <w:ind w:firstLineChars="0" w:firstLine="0"/>
              <w:jc w:val="center"/>
              <w:rPr>
                <w:sz w:val="24"/>
              </w:rPr>
            </w:pPr>
          </w:p>
        </w:tc>
      </w:tr>
      <w:tr w:rsidR="00CD47A0" w14:paraId="47DE60F1" w14:textId="77777777">
        <w:trPr>
          <w:jc w:val="center"/>
        </w:trPr>
        <w:tc>
          <w:tcPr>
            <w:tcW w:w="1951" w:type="dxa"/>
            <w:vAlign w:val="center"/>
          </w:tcPr>
          <w:p w14:paraId="250979F0" w14:textId="77777777" w:rsidR="00CD47A0" w:rsidRDefault="00000000">
            <w:pPr>
              <w:adjustRightInd w:val="0"/>
              <w:snapToGrid w:val="0"/>
              <w:spacing w:line="360" w:lineRule="auto"/>
              <w:ind w:firstLineChars="0" w:firstLine="0"/>
              <w:jc w:val="center"/>
              <w:rPr>
                <w:sz w:val="24"/>
              </w:rPr>
            </w:pPr>
            <w:r>
              <w:rPr>
                <w:rFonts w:hint="eastAsia"/>
                <w:sz w:val="24"/>
              </w:rPr>
              <w:t>输入阻抗</w:t>
            </w:r>
          </w:p>
        </w:tc>
        <w:tc>
          <w:tcPr>
            <w:tcW w:w="5670" w:type="dxa"/>
            <w:vAlign w:val="center"/>
          </w:tcPr>
          <w:p w14:paraId="7797A2BB" w14:textId="77777777" w:rsidR="00CD47A0" w:rsidRDefault="00000000">
            <w:pPr>
              <w:adjustRightInd w:val="0"/>
              <w:snapToGrid w:val="0"/>
              <w:spacing w:line="360" w:lineRule="auto"/>
              <w:ind w:firstLineChars="0" w:firstLine="0"/>
              <w:jc w:val="center"/>
              <w:rPr>
                <w:sz w:val="24"/>
              </w:rPr>
            </w:pPr>
            <w:r>
              <w:rPr>
                <w:rFonts w:hint="eastAsia"/>
                <w:sz w:val="24"/>
              </w:rPr>
              <w:t>＞</w:t>
            </w:r>
            <w:r>
              <w:rPr>
                <w:rFonts w:hint="eastAsia"/>
                <w:sz w:val="24"/>
              </w:rPr>
              <w:t>10M</w:t>
            </w:r>
            <w:r>
              <w:rPr>
                <w:rFonts w:hint="eastAsia"/>
                <w:sz w:val="24"/>
              </w:rPr>
              <w:sym w:font="Symbol" w:char="F057"/>
            </w:r>
          </w:p>
        </w:tc>
        <w:tc>
          <w:tcPr>
            <w:tcW w:w="1418" w:type="dxa"/>
            <w:vAlign w:val="center"/>
          </w:tcPr>
          <w:p w14:paraId="0F4AE921" w14:textId="77777777" w:rsidR="00CD47A0" w:rsidRDefault="00CD47A0">
            <w:pPr>
              <w:adjustRightInd w:val="0"/>
              <w:snapToGrid w:val="0"/>
              <w:spacing w:line="360" w:lineRule="auto"/>
              <w:ind w:firstLineChars="0" w:firstLine="0"/>
              <w:jc w:val="center"/>
              <w:rPr>
                <w:sz w:val="24"/>
              </w:rPr>
            </w:pPr>
          </w:p>
        </w:tc>
      </w:tr>
      <w:tr w:rsidR="00CD47A0" w14:paraId="33A15D8D" w14:textId="77777777">
        <w:trPr>
          <w:jc w:val="center"/>
        </w:trPr>
        <w:tc>
          <w:tcPr>
            <w:tcW w:w="1951" w:type="dxa"/>
            <w:vAlign w:val="center"/>
          </w:tcPr>
          <w:p w14:paraId="3939E21B" w14:textId="77777777" w:rsidR="00CD47A0" w:rsidRDefault="00000000">
            <w:pPr>
              <w:adjustRightInd w:val="0"/>
              <w:snapToGrid w:val="0"/>
              <w:spacing w:line="360" w:lineRule="auto"/>
              <w:ind w:firstLineChars="0" w:firstLine="0"/>
              <w:jc w:val="center"/>
              <w:rPr>
                <w:sz w:val="24"/>
              </w:rPr>
            </w:pPr>
            <w:r>
              <w:rPr>
                <w:rFonts w:hint="eastAsia"/>
                <w:sz w:val="24"/>
              </w:rPr>
              <w:t>同步</w:t>
            </w:r>
          </w:p>
        </w:tc>
        <w:tc>
          <w:tcPr>
            <w:tcW w:w="5670" w:type="dxa"/>
            <w:vAlign w:val="center"/>
          </w:tcPr>
          <w:p w14:paraId="7CA3F681" w14:textId="77777777" w:rsidR="00CD47A0" w:rsidRDefault="00000000">
            <w:pPr>
              <w:adjustRightInd w:val="0"/>
              <w:snapToGrid w:val="0"/>
              <w:spacing w:line="360" w:lineRule="auto"/>
              <w:ind w:firstLineChars="0" w:firstLine="0"/>
              <w:jc w:val="center"/>
              <w:rPr>
                <w:sz w:val="24"/>
              </w:rPr>
            </w:pPr>
            <w:r>
              <w:rPr>
                <w:rFonts w:hint="eastAsia"/>
                <w:sz w:val="24"/>
              </w:rPr>
              <w:t>GPS</w:t>
            </w:r>
            <w:r>
              <w:rPr>
                <w:rFonts w:hint="eastAsia"/>
                <w:sz w:val="24"/>
              </w:rPr>
              <w:t>时钟，</w:t>
            </w:r>
            <w:r>
              <w:rPr>
                <w:rFonts w:hint="eastAsia"/>
                <w:sz w:val="24"/>
              </w:rPr>
              <w:t>UTC</w:t>
            </w:r>
            <w:r>
              <w:rPr>
                <w:rFonts w:hint="eastAsia"/>
                <w:sz w:val="24"/>
              </w:rPr>
              <w:t>±</w:t>
            </w:r>
            <w:r>
              <w:rPr>
                <w:rFonts w:hint="eastAsia"/>
                <w:sz w:val="24"/>
              </w:rPr>
              <w:t>25ns</w:t>
            </w:r>
            <w:r>
              <w:rPr>
                <w:rFonts w:hint="eastAsia"/>
                <w:sz w:val="24"/>
              </w:rPr>
              <w:t>；内部晶振：</w:t>
            </w:r>
            <w:r>
              <w:rPr>
                <w:rFonts w:hint="eastAsia"/>
                <w:sz w:val="24"/>
              </w:rPr>
              <w:t>&lt;</w:t>
            </w:r>
            <w:r>
              <w:rPr>
                <w:rFonts w:hint="eastAsia"/>
                <w:sz w:val="24"/>
              </w:rPr>
              <w:t>±</w:t>
            </w:r>
            <w:r>
              <w:rPr>
                <w:rFonts w:hint="eastAsia"/>
                <w:sz w:val="24"/>
              </w:rPr>
              <w:t>5</w:t>
            </w:r>
            <w:r>
              <w:rPr>
                <w:rFonts w:hint="eastAsia"/>
                <w:sz w:val="24"/>
              </w:rPr>
              <w:t>×</w:t>
            </w:r>
            <w:r>
              <w:rPr>
                <w:rFonts w:hint="eastAsia"/>
                <w:sz w:val="24"/>
              </w:rPr>
              <w:t>10</w:t>
            </w:r>
            <w:r>
              <w:rPr>
                <w:rFonts w:hint="eastAsia"/>
                <w:sz w:val="24"/>
                <w:vertAlign w:val="superscript"/>
              </w:rPr>
              <w:t>-9</w:t>
            </w:r>
          </w:p>
        </w:tc>
        <w:tc>
          <w:tcPr>
            <w:tcW w:w="1418" w:type="dxa"/>
            <w:vAlign w:val="center"/>
          </w:tcPr>
          <w:p w14:paraId="3934A4C1" w14:textId="77777777" w:rsidR="00CD47A0" w:rsidRDefault="00CD47A0">
            <w:pPr>
              <w:adjustRightInd w:val="0"/>
              <w:snapToGrid w:val="0"/>
              <w:spacing w:line="360" w:lineRule="auto"/>
              <w:ind w:firstLineChars="0" w:firstLine="0"/>
              <w:jc w:val="center"/>
              <w:rPr>
                <w:sz w:val="24"/>
              </w:rPr>
            </w:pPr>
          </w:p>
        </w:tc>
      </w:tr>
      <w:tr w:rsidR="00CD47A0" w14:paraId="08E84C9E" w14:textId="77777777">
        <w:trPr>
          <w:jc w:val="center"/>
        </w:trPr>
        <w:tc>
          <w:tcPr>
            <w:tcW w:w="1951" w:type="dxa"/>
            <w:vAlign w:val="center"/>
          </w:tcPr>
          <w:p w14:paraId="508EB11B" w14:textId="77777777" w:rsidR="00CD47A0" w:rsidRDefault="00000000">
            <w:pPr>
              <w:adjustRightInd w:val="0"/>
              <w:snapToGrid w:val="0"/>
              <w:spacing w:line="360" w:lineRule="auto"/>
              <w:ind w:firstLineChars="0" w:firstLine="0"/>
              <w:jc w:val="center"/>
              <w:rPr>
                <w:sz w:val="24"/>
              </w:rPr>
            </w:pPr>
            <w:r>
              <w:rPr>
                <w:rFonts w:hint="eastAsia"/>
                <w:sz w:val="24"/>
              </w:rPr>
              <w:t>工作温度</w:t>
            </w:r>
          </w:p>
        </w:tc>
        <w:tc>
          <w:tcPr>
            <w:tcW w:w="5670" w:type="dxa"/>
            <w:vAlign w:val="center"/>
          </w:tcPr>
          <w:p w14:paraId="0D2D2C35" w14:textId="77777777" w:rsidR="00CD47A0" w:rsidRDefault="00000000">
            <w:pPr>
              <w:adjustRightInd w:val="0"/>
              <w:snapToGrid w:val="0"/>
              <w:spacing w:line="360" w:lineRule="auto"/>
              <w:ind w:firstLineChars="0" w:firstLine="0"/>
              <w:jc w:val="center"/>
              <w:rPr>
                <w:sz w:val="24"/>
              </w:rPr>
            </w:pPr>
            <w:r>
              <w:rPr>
                <w:rFonts w:hint="eastAsia"/>
                <w:sz w:val="24"/>
              </w:rPr>
              <w:t>-35</w:t>
            </w:r>
            <w:r>
              <w:rPr>
                <w:rFonts w:hint="eastAsia"/>
                <w:sz w:val="24"/>
              </w:rPr>
              <w:t>℃</w:t>
            </w:r>
            <w:r>
              <w:rPr>
                <w:sz w:val="24"/>
              </w:rPr>
              <w:t>~</w:t>
            </w:r>
            <w:r>
              <w:rPr>
                <w:rFonts w:hint="eastAsia"/>
                <w:sz w:val="24"/>
              </w:rPr>
              <w:t>50</w:t>
            </w:r>
            <w:r>
              <w:rPr>
                <w:rFonts w:hint="eastAsia"/>
                <w:sz w:val="24"/>
              </w:rPr>
              <w:t>℃</w:t>
            </w:r>
          </w:p>
        </w:tc>
        <w:tc>
          <w:tcPr>
            <w:tcW w:w="1418" w:type="dxa"/>
            <w:vAlign w:val="center"/>
          </w:tcPr>
          <w:p w14:paraId="1905A71A" w14:textId="77777777" w:rsidR="00CD47A0" w:rsidRDefault="00CD47A0">
            <w:pPr>
              <w:adjustRightInd w:val="0"/>
              <w:snapToGrid w:val="0"/>
              <w:spacing w:line="360" w:lineRule="auto"/>
              <w:ind w:firstLineChars="0" w:firstLine="0"/>
              <w:jc w:val="center"/>
              <w:rPr>
                <w:sz w:val="24"/>
              </w:rPr>
            </w:pPr>
          </w:p>
        </w:tc>
      </w:tr>
    </w:tbl>
    <w:p w14:paraId="52CFF767" w14:textId="77777777" w:rsidR="00CD47A0" w:rsidRDefault="00CD47A0">
      <w:pPr>
        <w:adjustRightInd w:val="0"/>
        <w:snapToGrid w:val="0"/>
        <w:spacing w:line="360" w:lineRule="auto"/>
        <w:ind w:firstLine="480"/>
        <w:rPr>
          <w:sz w:val="24"/>
        </w:rPr>
      </w:pPr>
    </w:p>
    <w:p w14:paraId="0F53187E" w14:textId="77777777" w:rsidR="00CD47A0" w:rsidRDefault="00000000">
      <w:pPr>
        <w:pStyle w:val="a6"/>
        <w:spacing w:beforeLines="0" w:afterLines="0" w:line="360" w:lineRule="auto"/>
        <w:ind w:firstLine="482"/>
        <w:rPr>
          <w:sz w:val="24"/>
          <w:szCs w:val="24"/>
        </w:rPr>
      </w:pPr>
      <w:r>
        <w:rPr>
          <w:rFonts w:hint="eastAsia"/>
          <w:sz w:val="24"/>
          <w:szCs w:val="24"/>
        </w:rPr>
        <w:t>附录</w:t>
      </w:r>
      <w:r>
        <w:rPr>
          <w:rFonts w:hint="eastAsia"/>
          <w:sz w:val="24"/>
          <w:szCs w:val="24"/>
        </w:rPr>
        <w:t xml:space="preserve">A.2 </w:t>
      </w:r>
      <w:r>
        <w:rPr>
          <w:rFonts w:hint="eastAsia"/>
          <w:sz w:val="24"/>
          <w:szCs w:val="24"/>
        </w:rPr>
        <w:t>感应式磁场传感器技术指标</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79"/>
        <w:gridCol w:w="5812"/>
        <w:gridCol w:w="1428"/>
      </w:tblGrid>
      <w:tr w:rsidR="00CD47A0" w14:paraId="60B49349" w14:textId="77777777">
        <w:trPr>
          <w:trHeight w:val="546"/>
          <w:jc w:val="center"/>
        </w:trPr>
        <w:tc>
          <w:tcPr>
            <w:tcW w:w="1879" w:type="dxa"/>
            <w:vAlign w:val="center"/>
          </w:tcPr>
          <w:p w14:paraId="01DF46BC" w14:textId="77777777" w:rsidR="00CD47A0" w:rsidRDefault="00000000">
            <w:pPr>
              <w:adjustRightInd w:val="0"/>
              <w:snapToGrid w:val="0"/>
              <w:spacing w:line="360" w:lineRule="auto"/>
              <w:ind w:firstLineChars="0" w:firstLine="0"/>
              <w:jc w:val="center"/>
              <w:rPr>
                <w:sz w:val="24"/>
              </w:rPr>
            </w:pPr>
            <w:proofErr w:type="gramStart"/>
            <w:r>
              <w:rPr>
                <w:rFonts w:hint="eastAsia"/>
                <w:sz w:val="24"/>
              </w:rPr>
              <w:t>参</w:t>
            </w:r>
            <w:r>
              <w:rPr>
                <w:rFonts w:hint="eastAsia"/>
                <w:sz w:val="24"/>
              </w:rPr>
              <w:t xml:space="preserve">  </w:t>
            </w:r>
            <w:r>
              <w:rPr>
                <w:rFonts w:hint="eastAsia"/>
                <w:sz w:val="24"/>
              </w:rPr>
              <w:t>数</w:t>
            </w:r>
            <w:proofErr w:type="gramEnd"/>
          </w:p>
        </w:tc>
        <w:tc>
          <w:tcPr>
            <w:tcW w:w="5812" w:type="dxa"/>
            <w:vAlign w:val="center"/>
          </w:tcPr>
          <w:p w14:paraId="6DA94D2C" w14:textId="77777777" w:rsidR="00CD47A0" w:rsidRDefault="00000000">
            <w:pPr>
              <w:adjustRightInd w:val="0"/>
              <w:snapToGrid w:val="0"/>
              <w:spacing w:line="360" w:lineRule="auto"/>
              <w:ind w:firstLineChars="0" w:firstLine="0"/>
              <w:jc w:val="center"/>
              <w:rPr>
                <w:rFonts w:cs="宋体"/>
                <w:sz w:val="24"/>
              </w:rPr>
            </w:pPr>
            <w:r>
              <w:rPr>
                <w:rFonts w:hint="eastAsia"/>
                <w:sz w:val="24"/>
              </w:rPr>
              <w:t>技术指标</w:t>
            </w:r>
          </w:p>
        </w:tc>
        <w:tc>
          <w:tcPr>
            <w:tcW w:w="1428" w:type="dxa"/>
            <w:vAlign w:val="center"/>
          </w:tcPr>
          <w:p w14:paraId="130277A4" w14:textId="77777777" w:rsidR="00CD47A0" w:rsidRDefault="00000000">
            <w:pPr>
              <w:adjustRightInd w:val="0"/>
              <w:snapToGrid w:val="0"/>
              <w:spacing w:line="360" w:lineRule="auto"/>
              <w:ind w:firstLineChars="0" w:firstLine="0"/>
              <w:jc w:val="center"/>
              <w:rPr>
                <w:rFonts w:cs="宋体"/>
                <w:sz w:val="24"/>
              </w:rPr>
            </w:pPr>
            <w:proofErr w:type="gramStart"/>
            <w:r>
              <w:rPr>
                <w:rFonts w:hint="eastAsia"/>
                <w:sz w:val="24"/>
              </w:rPr>
              <w:t>备</w:t>
            </w:r>
            <w:r>
              <w:rPr>
                <w:rFonts w:hint="eastAsia"/>
                <w:sz w:val="24"/>
              </w:rPr>
              <w:t xml:space="preserve">  </w:t>
            </w:r>
            <w:r>
              <w:rPr>
                <w:rFonts w:hint="eastAsia"/>
                <w:sz w:val="24"/>
              </w:rPr>
              <w:t>注</w:t>
            </w:r>
            <w:proofErr w:type="gramEnd"/>
          </w:p>
        </w:tc>
      </w:tr>
      <w:tr w:rsidR="00CD47A0" w14:paraId="41479CFF" w14:textId="77777777">
        <w:trPr>
          <w:trHeight w:val="397"/>
          <w:jc w:val="center"/>
        </w:trPr>
        <w:tc>
          <w:tcPr>
            <w:tcW w:w="1879" w:type="dxa"/>
            <w:vAlign w:val="center"/>
          </w:tcPr>
          <w:p w14:paraId="0A834704" w14:textId="77777777" w:rsidR="00CD47A0" w:rsidRDefault="00000000">
            <w:pPr>
              <w:adjustRightInd w:val="0"/>
              <w:snapToGrid w:val="0"/>
              <w:spacing w:line="360" w:lineRule="auto"/>
              <w:ind w:firstLineChars="0" w:firstLine="0"/>
              <w:jc w:val="center"/>
              <w:rPr>
                <w:sz w:val="24"/>
              </w:rPr>
            </w:pPr>
            <w:r>
              <w:rPr>
                <w:sz w:val="24"/>
              </w:rPr>
              <w:t>工作频率</w:t>
            </w:r>
          </w:p>
        </w:tc>
        <w:tc>
          <w:tcPr>
            <w:tcW w:w="5812" w:type="dxa"/>
            <w:vAlign w:val="center"/>
          </w:tcPr>
          <w:p w14:paraId="694822B7" w14:textId="77777777" w:rsidR="00CD47A0" w:rsidRDefault="00000000">
            <w:pPr>
              <w:adjustRightInd w:val="0"/>
              <w:snapToGrid w:val="0"/>
              <w:spacing w:line="360" w:lineRule="auto"/>
              <w:ind w:firstLineChars="0" w:firstLine="0"/>
              <w:jc w:val="center"/>
              <w:rPr>
                <w:sz w:val="24"/>
              </w:rPr>
            </w:pPr>
            <w:r>
              <w:rPr>
                <w:sz w:val="24"/>
              </w:rPr>
              <w:t>0.01 Hz~1000</w:t>
            </w:r>
            <w:r>
              <w:rPr>
                <w:rFonts w:hint="eastAsia"/>
                <w:sz w:val="24"/>
              </w:rPr>
              <w:t xml:space="preserve"> </w:t>
            </w:r>
            <w:r>
              <w:rPr>
                <w:sz w:val="24"/>
              </w:rPr>
              <w:t>Hz</w:t>
            </w:r>
          </w:p>
        </w:tc>
        <w:tc>
          <w:tcPr>
            <w:tcW w:w="1428" w:type="dxa"/>
            <w:vAlign w:val="center"/>
          </w:tcPr>
          <w:p w14:paraId="0F68C483" w14:textId="77777777" w:rsidR="00CD47A0" w:rsidRDefault="00CD47A0">
            <w:pPr>
              <w:adjustRightInd w:val="0"/>
              <w:snapToGrid w:val="0"/>
              <w:spacing w:line="360" w:lineRule="auto"/>
              <w:ind w:firstLineChars="0" w:firstLine="0"/>
              <w:jc w:val="center"/>
              <w:rPr>
                <w:sz w:val="24"/>
              </w:rPr>
            </w:pPr>
          </w:p>
        </w:tc>
      </w:tr>
      <w:tr w:rsidR="00CD47A0" w14:paraId="59A3B499" w14:textId="77777777">
        <w:trPr>
          <w:trHeight w:val="397"/>
          <w:jc w:val="center"/>
        </w:trPr>
        <w:tc>
          <w:tcPr>
            <w:tcW w:w="1879" w:type="dxa"/>
            <w:vAlign w:val="center"/>
          </w:tcPr>
          <w:p w14:paraId="735EC072" w14:textId="77777777" w:rsidR="00CD47A0" w:rsidRDefault="00000000">
            <w:pPr>
              <w:adjustRightInd w:val="0"/>
              <w:snapToGrid w:val="0"/>
              <w:spacing w:line="360" w:lineRule="auto"/>
              <w:ind w:firstLineChars="0" w:firstLine="0"/>
              <w:jc w:val="center"/>
              <w:rPr>
                <w:sz w:val="24"/>
              </w:rPr>
            </w:pPr>
            <w:r>
              <w:rPr>
                <w:sz w:val="24"/>
              </w:rPr>
              <w:t>灵敏度</w:t>
            </w:r>
          </w:p>
        </w:tc>
        <w:tc>
          <w:tcPr>
            <w:tcW w:w="5812" w:type="dxa"/>
            <w:vAlign w:val="center"/>
          </w:tcPr>
          <w:p w14:paraId="1509BF24" w14:textId="77777777" w:rsidR="00CD47A0" w:rsidRDefault="00000000">
            <w:pPr>
              <w:adjustRightInd w:val="0"/>
              <w:snapToGrid w:val="0"/>
              <w:spacing w:line="360" w:lineRule="auto"/>
              <w:ind w:firstLineChars="0" w:firstLine="0"/>
              <w:jc w:val="center"/>
              <w:rPr>
                <w:sz w:val="24"/>
              </w:rPr>
            </w:pPr>
            <w:r>
              <w:rPr>
                <w:sz w:val="24"/>
              </w:rPr>
              <w:t>800 mV/</w:t>
            </w:r>
            <w:proofErr w:type="spellStart"/>
            <w:proofErr w:type="gramStart"/>
            <w:r>
              <w:rPr>
                <w:sz w:val="24"/>
              </w:rPr>
              <w:t>nT</w:t>
            </w:r>
            <w:proofErr w:type="spellEnd"/>
            <w:r>
              <w:rPr>
                <w:sz w:val="24"/>
              </w:rPr>
              <w:t xml:space="preserve">  f</w:t>
            </w:r>
            <w:proofErr w:type="gramEnd"/>
            <w:r>
              <w:rPr>
                <w:sz w:val="24"/>
              </w:rPr>
              <w:t xml:space="preserve"> &gt;&gt; 4 </w:t>
            </w:r>
            <w:proofErr w:type="gramStart"/>
            <w:r>
              <w:rPr>
                <w:sz w:val="24"/>
              </w:rPr>
              <w:t>Hz  200</w:t>
            </w:r>
            <w:proofErr w:type="gramEnd"/>
            <w:r>
              <w:rPr>
                <w:rFonts w:ascii="宋体" w:hAnsi="宋体" w:hint="eastAsia"/>
                <w:sz w:val="24"/>
              </w:rPr>
              <w:sym w:font="SymbolPS" w:char="F0B4"/>
            </w:r>
            <w:r>
              <w:rPr>
                <w:sz w:val="24"/>
              </w:rPr>
              <w:t>f mV/</w:t>
            </w:r>
            <w:proofErr w:type="spellStart"/>
            <w:proofErr w:type="gramStart"/>
            <w:r>
              <w:rPr>
                <w:sz w:val="24"/>
              </w:rPr>
              <w:t>nT</w:t>
            </w:r>
            <w:proofErr w:type="spellEnd"/>
            <w:r>
              <w:rPr>
                <w:sz w:val="24"/>
              </w:rPr>
              <w:t xml:space="preserve">  f</w:t>
            </w:r>
            <w:proofErr w:type="gramEnd"/>
            <w:r>
              <w:rPr>
                <w:sz w:val="24"/>
              </w:rPr>
              <w:t xml:space="preserve"> &lt;&lt; 4 Hz</w:t>
            </w:r>
          </w:p>
        </w:tc>
        <w:tc>
          <w:tcPr>
            <w:tcW w:w="1428" w:type="dxa"/>
            <w:vAlign w:val="center"/>
          </w:tcPr>
          <w:p w14:paraId="31F686F2" w14:textId="77777777" w:rsidR="00CD47A0" w:rsidRDefault="00CD47A0">
            <w:pPr>
              <w:adjustRightInd w:val="0"/>
              <w:snapToGrid w:val="0"/>
              <w:spacing w:line="360" w:lineRule="auto"/>
              <w:ind w:firstLineChars="0" w:firstLine="0"/>
              <w:jc w:val="center"/>
              <w:rPr>
                <w:sz w:val="24"/>
              </w:rPr>
            </w:pPr>
          </w:p>
        </w:tc>
      </w:tr>
      <w:tr w:rsidR="00CD47A0" w14:paraId="2684593F" w14:textId="77777777">
        <w:trPr>
          <w:trHeight w:val="397"/>
          <w:jc w:val="center"/>
        </w:trPr>
        <w:tc>
          <w:tcPr>
            <w:tcW w:w="1879" w:type="dxa"/>
            <w:vAlign w:val="center"/>
          </w:tcPr>
          <w:p w14:paraId="785444BE" w14:textId="77777777" w:rsidR="00CD47A0" w:rsidRDefault="00000000">
            <w:pPr>
              <w:adjustRightInd w:val="0"/>
              <w:snapToGrid w:val="0"/>
              <w:spacing w:line="360" w:lineRule="auto"/>
              <w:ind w:firstLineChars="0" w:firstLine="0"/>
              <w:jc w:val="center"/>
              <w:rPr>
                <w:sz w:val="24"/>
              </w:rPr>
            </w:pPr>
            <w:r>
              <w:rPr>
                <w:sz w:val="24"/>
              </w:rPr>
              <w:t>噪声水平</w:t>
            </w:r>
          </w:p>
        </w:tc>
        <w:tc>
          <w:tcPr>
            <w:tcW w:w="5812" w:type="dxa"/>
            <w:vAlign w:val="center"/>
          </w:tcPr>
          <w:p w14:paraId="53DE3431" w14:textId="77777777" w:rsidR="00CD47A0" w:rsidRDefault="00000000">
            <w:pPr>
              <w:adjustRightInd w:val="0"/>
              <w:snapToGrid w:val="0"/>
              <w:spacing w:line="360" w:lineRule="auto"/>
              <w:ind w:firstLineChars="0" w:firstLine="0"/>
              <w:jc w:val="center"/>
              <w:rPr>
                <w:sz w:val="24"/>
              </w:rPr>
            </w:pPr>
            <w:r>
              <w:rPr>
                <w:kern w:val="0"/>
                <w:sz w:val="24"/>
              </w:rPr>
              <w:t xml:space="preserve">13 </w:t>
            </w:r>
            <w:proofErr w:type="spellStart"/>
            <w:r>
              <w:rPr>
                <w:kern w:val="0"/>
                <w:sz w:val="24"/>
              </w:rPr>
              <w:t>pT</w:t>
            </w:r>
            <w:proofErr w:type="spellEnd"/>
            <w:r>
              <w:rPr>
                <w:kern w:val="0"/>
                <w:sz w:val="24"/>
              </w:rPr>
              <w:t xml:space="preserve">/√Hz @ 0.01 Hz   0.13 </w:t>
            </w:r>
            <w:proofErr w:type="spellStart"/>
            <w:r>
              <w:rPr>
                <w:kern w:val="0"/>
                <w:sz w:val="24"/>
              </w:rPr>
              <w:t>pT</w:t>
            </w:r>
            <w:proofErr w:type="spellEnd"/>
            <w:r>
              <w:rPr>
                <w:kern w:val="0"/>
                <w:sz w:val="24"/>
              </w:rPr>
              <w:t>/√Hz @ 1 Hz   0.003pT/√Hz@1kHz</w:t>
            </w:r>
          </w:p>
        </w:tc>
        <w:tc>
          <w:tcPr>
            <w:tcW w:w="1428" w:type="dxa"/>
            <w:vAlign w:val="center"/>
          </w:tcPr>
          <w:p w14:paraId="0E852FB8" w14:textId="77777777" w:rsidR="00CD47A0" w:rsidRDefault="00CD47A0">
            <w:pPr>
              <w:adjustRightInd w:val="0"/>
              <w:snapToGrid w:val="0"/>
              <w:spacing w:line="360" w:lineRule="auto"/>
              <w:ind w:firstLineChars="0" w:firstLine="0"/>
              <w:jc w:val="center"/>
              <w:rPr>
                <w:sz w:val="24"/>
              </w:rPr>
            </w:pPr>
          </w:p>
        </w:tc>
      </w:tr>
      <w:tr w:rsidR="00CD47A0" w14:paraId="4EF06146" w14:textId="77777777">
        <w:trPr>
          <w:trHeight w:val="397"/>
          <w:jc w:val="center"/>
        </w:trPr>
        <w:tc>
          <w:tcPr>
            <w:tcW w:w="1879" w:type="dxa"/>
            <w:vAlign w:val="center"/>
          </w:tcPr>
          <w:p w14:paraId="3E609097" w14:textId="77777777" w:rsidR="00CD47A0" w:rsidRDefault="00000000">
            <w:pPr>
              <w:adjustRightInd w:val="0"/>
              <w:snapToGrid w:val="0"/>
              <w:spacing w:line="360" w:lineRule="auto"/>
              <w:ind w:firstLineChars="0" w:firstLine="0"/>
              <w:jc w:val="center"/>
              <w:rPr>
                <w:sz w:val="24"/>
              </w:rPr>
            </w:pPr>
            <w:r>
              <w:rPr>
                <w:sz w:val="24"/>
              </w:rPr>
              <w:t>工作温度</w:t>
            </w:r>
          </w:p>
        </w:tc>
        <w:tc>
          <w:tcPr>
            <w:tcW w:w="5812" w:type="dxa"/>
            <w:vAlign w:val="center"/>
          </w:tcPr>
          <w:p w14:paraId="1997CE5E" w14:textId="77777777" w:rsidR="00CD47A0" w:rsidRDefault="00000000">
            <w:pPr>
              <w:pStyle w:val="10"/>
              <w:adjustRightInd w:val="0"/>
              <w:snapToGrid w:val="0"/>
              <w:spacing w:line="360" w:lineRule="auto"/>
              <w:rPr>
                <w:rFonts w:ascii="Times New Roman" w:hAnsi="Times New Roman"/>
                <w:kern w:val="0"/>
                <w:szCs w:val="24"/>
                <w:lang w:val="zh-CN"/>
              </w:rPr>
            </w:pPr>
            <w:r>
              <w:rPr>
                <w:rFonts w:ascii="Times New Roman" w:hAnsi="Times New Roman"/>
                <w:kern w:val="0"/>
                <w:szCs w:val="24"/>
                <w:lang w:val="zh-CN"/>
              </w:rPr>
              <w:t>-30°C</w:t>
            </w:r>
            <w:r>
              <w:rPr>
                <w:rFonts w:ascii="Times New Roman" w:hAnsi="Times New Roman" w:hint="eastAsia"/>
                <w:kern w:val="0"/>
                <w:szCs w:val="24"/>
                <w:lang w:val="zh-CN"/>
              </w:rPr>
              <w:t xml:space="preserve"> </w:t>
            </w:r>
            <w:r>
              <w:rPr>
                <w:rFonts w:ascii="Times New Roman" w:hAnsi="Times New Roman"/>
                <w:szCs w:val="24"/>
              </w:rPr>
              <w:t>~</w:t>
            </w:r>
            <w:r>
              <w:rPr>
                <w:rFonts w:ascii="Times New Roman" w:hAnsi="Times New Roman" w:hint="eastAsia"/>
                <w:szCs w:val="24"/>
              </w:rPr>
              <w:t xml:space="preserve"> </w:t>
            </w:r>
            <w:r>
              <w:rPr>
                <w:rFonts w:ascii="Times New Roman" w:hAnsi="Times New Roman"/>
                <w:kern w:val="0"/>
                <w:szCs w:val="24"/>
                <w:lang w:val="zh-CN"/>
              </w:rPr>
              <w:t>+70°C</w:t>
            </w:r>
          </w:p>
        </w:tc>
        <w:tc>
          <w:tcPr>
            <w:tcW w:w="1428" w:type="dxa"/>
            <w:vAlign w:val="center"/>
          </w:tcPr>
          <w:p w14:paraId="6FD4B9FF" w14:textId="77777777" w:rsidR="00CD47A0" w:rsidRDefault="00CD47A0">
            <w:pPr>
              <w:pStyle w:val="10"/>
              <w:adjustRightInd w:val="0"/>
              <w:snapToGrid w:val="0"/>
              <w:spacing w:line="360" w:lineRule="auto"/>
              <w:rPr>
                <w:rFonts w:ascii="Times New Roman" w:hAnsi="Times New Roman"/>
                <w:kern w:val="0"/>
                <w:szCs w:val="24"/>
                <w:lang w:val="zh-CN"/>
              </w:rPr>
            </w:pPr>
          </w:p>
        </w:tc>
      </w:tr>
    </w:tbl>
    <w:p w14:paraId="76D09B29" w14:textId="77777777" w:rsidR="00CD47A0" w:rsidRDefault="00CD47A0">
      <w:pPr>
        <w:adjustRightInd w:val="0"/>
        <w:snapToGrid w:val="0"/>
        <w:spacing w:line="360" w:lineRule="auto"/>
        <w:ind w:firstLine="480"/>
        <w:rPr>
          <w:sz w:val="24"/>
        </w:rPr>
      </w:pPr>
    </w:p>
    <w:p w14:paraId="3BDD60D7" w14:textId="77777777" w:rsidR="00CD47A0" w:rsidRDefault="00CD47A0">
      <w:pPr>
        <w:pStyle w:val="af9"/>
        <w:spacing w:line="360" w:lineRule="auto"/>
        <w:ind w:firstLineChars="0" w:firstLine="0"/>
        <w:jc w:val="center"/>
        <w:rPr>
          <w:sz w:val="24"/>
          <w:szCs w:val="24"/>
        </w:rPr>
      </w:pPr>
    </w:p>
    <w:p w14:paraId="36D8F624" w14:textId="77777777" w:rsidR="00CD47A0" w:rsidRDefault="00CD47A0">
      <w:pPr>
        <w:adjustRightInd w:val="0"/>
        <w:snapToGrid w:val="0"/>
        <w:spacing w:line="360" w:lineRule="auto"/>
        <w:ind w:firstLineChars="0" w:firstLine="0"/>
        <w:rPr>
          <w:rFonts w:asciiTheme="minorEastAsia" w:hAnsiTheme="minorEastAsia" w:cstheme="minorEastAsia" w:hint="eastAsia"/>
          <w:b/>
          <w:bCs/>
          <w:sz w:val="24"/>
        </w:rPr>
      </w:pPr>
    </w:p>
    <w:sectPr w:rsidR="00CD47A0">
      <w:headerReference w:type="default" r:id="rId102"/>
      <w:footerReference w:type="default" r:id="rId10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432A" w14:textId="77777777" w:rsidR="0059483E" w:rsidRDefault="0059483E">
      <w:pPr>
        <w:ind w:firstLine="420"/>
      </w:pPr>
      <w:r>
        <w:separator/>
      </w:r>
    </w:p>
  </w:endnote>
  <w:endnote w:type="continuationSeparator" w:id="0">
    <w:p w14:paraId="74C1B7B5" w14:textId="77777777" w:rsidR="0059483E" w:rsidRDefault="0059483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altName w:val="ksdb"/>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ymbolPS">
    <w:altName w:val="Symbol"/>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9AB6" w14:textId="77777777" w:rsidR="00CD47A0" w:rsidRDefault="00CD47A0">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9CC9" w14:textId="77777777" w:rsidR="00CD47A0" w:rsidRDefault="00CD47A0">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F4C0" w14:textId="77777777" w:rsidR="00CD47A0" w:rsidRDefault="00CD47A0">
    <w:pPr>
      <w:pStyle w:val="ac"/>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2378" w14:textId="77777777" w:rsidR="00CD47A0" w:rsidRDefault="00000000">
    <w:pPr>
      <w:pStyle w:val="ac"/>
      <w:ind w:firstLine="360"/>
    </w:pPr>
    <w:r>
      <w:rPr>
        <w:noProof/>
      </w:rPr>
      <mc:AlternateContent>
        <mc:Choice Requires="wps">
          <w:drawing>
            <wp:anchor distT="0" distB="0" distL="114300" distR="114300" simplePos="0" relativeHeight="251660288" behindDoc="0" locked="0" layoutInCell="1" allowOverlap="1" wp14:anchorId="4B89EBEA" wp14:editId="052C59A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786038" w14:textId="77777777" w:rsidR="00CD47A0" w:rsidRDefault="00000000">
                          <w:pPr>
                            <w:pStyle w:val="ac"/>
                            <w:ind w:firstLine="36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89EBEA"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1786038" w14:textId="77777777" w:rsidR="00CD47A0" w:rsidRDefault="00000000">
                    <w:pPr>
                      <w:pStyle w:val="ac"/>
                      <w:ind w:firstLine="360"/>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E54D" w14:textId="77777777" w:rsidR="0059483E" w:rsidRDefault="0059483E">
      <w:pPr>
        <w:ind w:firstLine="420"/>
      </w:pPr>
      <w:r>
        <w:separator/>
      </w:r>
    </w:p>
  </w:footnote>
  <w:footnote w:type="continuationSeparator" w:id="0">
    <w:p w14:paraId="465D9494" w14:textId="77777777" w:rsidR="0059483E" w:rsidRDefault="0059483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5730" w14:textId="77777777" w:rsidR="00CD47A0" w:rsidRDefault="00CD47A0">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1456" w14:textId="77777777" w:rsidR="00CD47A0" w:rsidRDefault="00CD47A0">
    <w:pPr>
      <w:pStyle w:val="ad"/>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C262" w14:textId="77777777" w:rsidR="00CD47A0" w:rsidRDefault="00CD47A0">
    <w:pPr>
      <w:pStyle w:val="ad"/>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C979" w14:textId="77777777" w:rsidR="00CD47A0" w:rsidRDefault="00000000">
    <w:pPr>
      <w:pStyle w:val="afa"/>
      <w:rPr>
        <w:rFonts w:hint="eastAsia"/>
      </w:rPr>
    </w:pPr>
    <w:r>
      <w:t>NB/T XXXXX</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EA"/>
    <w:multiLevelType w:val="multilevel"/>
    <w:tmpl w:val="07ED3FEA"/>
    <w:lvl w:ilvl="0">
      <w:start w:val="1"/>
      <w:numFmt w:val="none"/>
      <w:pStyle w:val="a"/>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Theme="minorHAnsi" w:hint="eastAsia"/>
        <w:b w:val="0"/>
        <w:i w:val="0"/>
        <w:sz w:val="21"/>
      </w:rPr>
    </w:lvl>
    <w:lvl w:ilvl="2">
      <w:start w:val="1"/>
      <w:numFmt w:val="decimal"/>
      <w:suff w:val="nothing"/>
      <w:lvlText w:val="%10.%2.%3 "/>
      <w:lvlJc w:val="left"/>
      <w:pPr>
        <w:ind w:left="0" w:firstLine="0"/>
      </w:pPr>
      <w:rPr>
        <w:rFonts w:ascii="黑体" w:eastAsia="黑体" w:hAnsiTheme="minorHAnsi" w:hint="eastAsia"/>
        <w:b w:val="0"/>
        <w:i w:val="0"/>
        <w:sz w:val="21"/>
      </w:rPr>
    </w:lvl>
    <w:lvl w:ilvl="3">
      <w:start w:val="1"/>
      <w:numFmt w:val="decimal"/>
      <w:suff w:val="nothing"/>
      <w:lvlText w:val="%10.%2.%3.%4 "/>
      <w:lvlJc w:val="left"/>
      <w:pPr>
        <w:ind w:left="0" w:firstLine="0"/>
      </w:pPr>
      <w:rPr>
        <w:rFonts w:ascii="黑体" w:eastAsia="黑体" w:hAnsiTheme="minorHAnsi" w:hint="eastAsia"/>
        <w:b w:val="0"/>
        <w:i w:val="0"/>
        <w:sz w:val="21"/>
      </w:rPr>
    </w:lvl>
    <w:lvl w:ilvl="4">
      <w:start w:val="1"/>
      <w:numFmt w:val="decimal"/>
      <w:suff w:val="nothing"/>
      <w:lvlText w:val="%10.%2.%3.%4.%5 "/>
      <w:lvlJc w:val="left"/>
      <w:pPr>
        <w:ind w:left="0" w:firstLine="0"/>
      </w:pPr>
      <w:rPr>
        <w:rFonts w:ascii="黑体" w:eastAsia="黑体" w:hAnsiTheme="minorHAnsi" w:hint="eastAsia"/>
        <w:b w:val="0"/>
        <w:i w:val="0"/>
        <w:sz w:val="21"/>
      </w:rPr>
    </w:lvl>
    <w:lvl w:ilvl="5">
      <w:start w:val="1"/>
      <w:numFmt w:val="decimal"/>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FC91163"/>
    <w:multiLevelType w:val="multilevel"/>
    <w:tmpl w:val="1FC91163"/>
    <w:lvl w:ilvl="0">
      <w:start w:val="1"/>
      <w:numFmt w:val="decimal"/>
      <w:pStyle w:val="a0"/>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1135" w:firstLine="0"/>
      </w:pPr>
      <w:rPr>
        <w:rFonts w:ascii="黑体" w:eastAsia="黑体" w:hAnsi="Times New Roman" w:cs="Times New Roman" w:hint="default"/>
        <w:b w:val="0"/>
        <w:bCs w:val="0"/>
        <w:i w:val="0"/>
        <w:iCs w:val="0"/>
        <w:caps w:val="0"/>
        <w:strike w:val="0"/>
        <w:dstrike w:val="0"/>
        <w:vanish w:val="0"/>
        <w:color w:val="auto"/>
        <w:spacing w:val="0"/>
        <w:kern w:val="0"/>
        <w:position w:val="0"/>
        <w:sz w:val="21"/>
        <w:szCs w:val="21"/>
        <w:u w:val="none"/>
        <w:vertAlign w:val="baseline"/>
      </w:rPr>
    </w:lvl>
    <w:lvl w:ilvl="2">
      <w:start w:val="1"/>
      <w:numFmt w:val="decimal"/>
      <w:suff w:val="nothing"/>
      <w:lvlText w:val="%1.%2.%3　"/>
      <w:lvlJc w:val="left"/>
      <w:pPr>
        <w:ind w:left="1135" w:firstLine="0"/>
      </w:pPr>
      <w:rPr>
        <w:rFonts w:ascii="黑体" w:eastAsia="黑体" w:hAnsi="Times New Roman" w:hint="default"/>
        <w:b w:val="0"/>
        <w:i w:val="0"/>
        <w:color w:val="auto"/>
        <w:sz w:val="21"/>
      </w:rPr>
    </w:lvl>
    <w:lvl w:ilvl="3">
      <w:start w:val="1"/>
      <w:numFmt w:val="decimal"/>
      <w:suff w:val="nothing"/>
      <w:lvlText w:val="%1.%2.%3.%4　"/>
      <w:lvlJc w:val="left"/>
      <w:pPr>
        <w:ind w:left="0" w:firstLine="0"/>
      </w:pPr>
      <w:rPr>
        <w:rFonts w:ascii="黑体" w:eastAsia="黑体" w:hAnsi="黑体" w:cs="黑体" w:hint="default"/>
        <w:b w:val="0"/>
        <w:i w:val="0"/>
        <w:color w:val="auto"/>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879582060">
    <w:abstractNumId w:val="1"/>
  </w:num>
  <w:num w:numId="2" w16cid:durableId="29826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RiYWJiZDk2Y2Y1MGRjNGNhODhiMzlkMTVmMzk5NWMifQ=="/>
  </w:docVars>
  <w:rsids>
    <w:rsidRoot w:val="00172A27"/>
    <w:rsid w:val="00021EB2"/>
    <w:rsid w:val="00031396"/>
    <w:rsid w:val="00172A27"/>
    <w:rsid w:val="001C35B5"/>
    <w:rsid w:val="00273EB1"/>
    <w:rsid w:val="00314B01"/>
    <w:rsid w:val="00345DB6"/>
    <w:rsid w:val="00370873"/>
    <w:rsid w:val="003C1403"/>
    <w:rsid w:val="004008AA"/>
    <w:rsid w:val="00454E3B"/>
    <w:rsid w:val="004A0D20"/>
    <w:rsid w:val="00555F6F"/>
    <w:rsid w:val="0059483E"/>
    <w:rsid w:val="005B5B5A"/>
    <w:rsid w:val="005E62BC"/>
    <w:rsid w:val="00661AF9"/>
    <w:rsid w:val="006814DD"/>
    <w:rsid w:val="006B003B"/>
    <w:rsid w:val="006D5437"/>
    <w:rsid w:val="006D694B"/>
    <w:rsid w:val="00731FFF"/>
    <w:rsid w:val="007441A1"/>
    <w:rsid w:val="00754742"/>
    <w:rsid w:val="00754FD7"/>
    <w:rsid w:val="00763943"/>
    <w:rsid w:val="00793015"/>
    <w:rsid w:val="00794461"/>
    <w:rsid w:val="008249CE"/>
    <w:rsid w:val="008E4B95"/>
    <w:rsid w:val="00931511"/>
    <w:rsid w:val="00964F1E"/>
    <w:rsid w:val="00965057"/>
    <w:rsid w:val="00996E75"/>
    <w:rsid w:val="009C61D2"/>
    <w:rsid w:val="009D2F12"/>
    <w:rsid w:val="00A770F1"/>
    <w:rsid w:val="00A84FB1"/>
    <w:rsid w:val="00A968AD"/>
    <w:rsid w:val="00AB6721"/>
    <w:rsid w:val="00AF2592"/>
    <w:rsid w:val="00B36716"/>
    <w:rsid w:val="00B80004"/>
    <w:rsid w:val="00B90EF9"/>
    <w:rsid w:val="00B97F2F"/>
    <w:rsid w:val="00BC61B9"/>
    <w:rsid w:val="00BD4732"/>
    <w:rsid w:val="00C16C5E"/>
    <w:rsid w:val="00C475FA"/>
    <w:rsid w:val="00CC519D"/>
    <w:rsid w:val="00CD47A0"/>
    <w:rsid w:val="00CD6978"/>
    <w:rsid w:val="00D037A2"/>
    <w:rsid w:val="00D74574"/>
    <w:rsid w:val="00DB2DBC"/>
    <w:rsid w:val="00DC5BED"/>
    <w:rsid w:val="00DC6BCA"/>
    <w:rsid w:val="00E64055"/>
    <w:rsid w:val="00FB4143"/>
    <w:rsid w:val="01084A1C"/>
    <w:rsid w:val="01565C22"/>
    <w:rsid w:val="0172376C"/>
    <w:rsid w:val="01753520"/>
    <w:rsid w:val="024E0502"/>
    <w:rsid w:val="02A96CFB"/>
    <w:rsid w:val="03285224"/>
    <w:rsid w:val="03FB03BA"/>
    <w:rsid w:val="046A0D0F"/>
    <w:rsid w:val="053D4542"/>
    <w:rsid w:val="064A7E58"/>
    <w:rsid w:val="06B07C4D"/>
    <w:rsid w:val="073549BA"/>
    <w:rsid w:val="07AC3BF6"/>
    <w:rsid w:val="08660C5F"/>
    <w:rsid w:val="09001E5B"/>
    <w:rsid w:val="09212E46"/>
    <w:rsid w:val="09C75DDA"/>
    <w:rsid w:val="0BB806BF"/>
    <w:rsid w:val="0CC5472F"/>
    <w:rsid w:val="0E325320"/>
    <w:rsid w:val="0E356BBF"/>
    <w:rsid w:val="0F471412"/>
    <w:rsid w:val="0F84224A"/>
    <w:rsid w:val="109E4EEF"/>
    <w:rsid w:val="110324D3"/>
    <w:rsid w:val="119A56B6"/>
    <w:rsid w:val="11FE3A62"/>
    <w:rsid w:val="1461201D"/>
    <w:rsid w:val="15FC7D69"/>
    <w:rsid w:val="16CF417D"/>
    <w:rsid w:val="16D7260A"/>
    <w:rsid w:val="170948E5"/>
    <w:rsid w:val="17F2007D"/>
    <w:rsid w:val="18A1732B"/>
    <w:rsid w:val="18ED5E7E"/>
    <w:rsid w:val="191B1130"/>
    <w:rsid w:val="1A4A7570"/>
    <w:rsid w:val="1A603436"/>
    <w:rsid w:val="1C8A29C4"/>
    <w:rsid w:val="1CFF6195"/>
    <w:rsid w:val="1DF91A83"/>
    <w:rsid w:val="1E926663"/>
    <w:rsid w:val="206C61E6"/>
    <w:rsid w:val="215C3521"/>
    <w:rsid w:val="21FA6D5D"/>
    <w:rsid w:val="2309644A"/>
    <w:rsid w:val="238C1C65"/>
    <w:rsid w:val="23AA67BB"/>
    <w:rsid w:val="244F40DF"/>
    <w:rsid w:val="251B55E8"/>
    <w:rsid w:val="256C2CDF"/>
    <w:rsid w:val="258F0840"/>
    <w:rsid w:val="2A5B3759"/>
    <w:rsid w:val="2A6A6AC7"/>
    <w:rsid w:val="2A704DAF"/>
    <w:rsid w:val="2AB53981"/>
    <w:rsid w:val="2B122C35"/>
    <w:rsid w:val="2B8D5E01"/>
    <w:rsid w:val="2BC80A26"/>
    <w:rsid w:val="2C016CD2"/>
    <w:rsid w:val="2C271DEC"/>
    <w:rsid w:val="2C670E6C"/>
    <w:rsid w:val="2C764DE6"/>
    <w:rsid w:val="2CA07068"/>
    <w:rsid w:val="2EBA02F1"/>
    <w:rsid w:val="2ED72C24"/>
    <w:rsid w:val="31B509D9"/>
    <w:rsid w:val="31F97D80"/>
    <w:rsid w:val="32FD3234"/>
    <w:rsid w:val="33F35308"/>
    <w:rsid w:val="344529CD"/>
    <w:rsid w:val="34717695"/>
    <w:rsid w:val="347D0DD0"/>
    <w:rsid w:val="360B3C16"/>
    <w:rsid w:val="3616354E"/>
    <w:rsid w:val="361744FF"/>
    <w:rsid w:val="381C71BB"/>
    <w:rsid w:val="394A0ED7"/>
    <w:rsid w:val="395314E1"/>
    <w:rsid w:val="39A70407"/>
    <w:rsid w:val="39AA0289"/>
    <w:rsid w:val="3A1204A1"/>
    <w:rsid w:val="3A855984"/>
    <w:rsid w:val="3ACF5EC3"/>
    <w:rsid w:val="3B35776B"/>
    <w:rsid w:val="3BE121D8"/>
    <w:rsid w:val="3C162535"/>
    <w:rsid w:val="3C77608C"/>
    <w:rsid w:val="3CD7037E"/>
    <w:rsid w:val="3D3C1506"/>
    <w:rsid w:val="3DD26555"/>
    <w:rsid w:val="3EF84529"/>
    <w:rsid w:val="40454A14"/>
    <w:rsid w:val="408E056E"/>
    <w:rsid w:val="411B48C2"/>
    <w:rsid w:val="418B3979"/>
    <w:rsid w:val="42FB2D50"/>
    <w:rsid w:val="4323027D"/>
    <w:rsid w:val="43CA1EE0"/>
    <w:rsid w:val="44335E8C"/>
    <w:rsid w:val="45F52F11"/>
    <w:rsid w:val="477F084D"/>
    <w:rsid w:val="484261AD"/>
    <w:rsid w:val="49D044B9"/>
    <w:rsid w:val="4A1659A9"/>
    <w:rsid w:val="4ABD6AF7"/>
    <w:rsid w:val="4B8A56D1"/>
    <w:rsid w:val="4C224AED"/>
    <w:rsid w:val="4DEC582F"/>
    <w:rsid w:val="4E350683"/>
    <w:rsid w:val="4E8817E9"/>
    <w:rsid w:val="510777F8"/>
    <w:rsid w:val="52166DB8"/>
    <w:rsid w:val="521A1DED"/>
    <w:rsid w:val="521B1E33"/>
    <w:rsid w:val="52615267"/>
    <w:rsid w:val="53E334F6"/>
    <w:rsid w:val="543175BB"/>
    <w:rsid w:val="55B35482"/>
    <w:rsid w:val="55BD589B"/>
    <w:rsid w:val="563A10A8"/>
    <w:rsid w:val="56FB27A4"/>
    <w:rsid w:val="576212E6"/>
    <w:rsid w:val="58705DF6"/>
    <w:rsid w:val="58F96D8E"/>
    <w:rsid w:val="59BC7C47"/>
    <w:rsid w:val="5A7A2F5C"/>
    <w:rsid w:val="5BAB3D19"/>
    <w:rsid w:val="5BDC0D63"/>
    <w:rsid w:val="5BFA1A5E"/>
    <w:rsid w:val="5D0019A2"/>
    <w:rsid w:val="5D6166D5"/>
    <w:rsid w:val="5DAA5E33"/>
    <w:rsid w:val="5E6721EE"/>
    <w:rsid w:val="5F206430"/>
    <w:rsid w:val="5F9D47EA"/>
    <w:rsid w:val="5FCF64A1"/>
    <w:rsid w:val="608E22F2"/>
    <w:rsid w:val="610A7506"/>
    <w:rsid w:val="61196267"/>
    <w:rsid w:val="611E196F"/>
    <w:rsid w:val="6197341D"/>
    <w:rsid w:val="62EF0E48"/>
    <w:rsid w:val="66AD6727"/>
    <w:rsid w:val="68054B32"/>
    <w:rsid w:val="68392AF2"/>
    <w:rsid w:val="69756920"/>
    <w:rsid w:val="699B29FD"/>
    <w:rsid w:val="6A511AB8"/>
    <w:rsid w:val="6B8F0831"/>
    <w:rsid w:val="6BBE2E94"/>
    <w:rsid w:val="6C2F3E68"/>
    <w:rsid w:val="6CED1BC3"/>
    <w:rsid w:val="6D133F04"/>
    <w:rsid w:val="6DD91B54"/>
    <w:rsid w:val="6F1A0749"/>
    <w:rsid w:val="700B0B56"/>
    <w:rsid w:val="705F6D76"/>
    <w:rsid w:val="706A7844"/>
    <w:rsid w:val="736B135C"/>
    <w:rsid w:val="73D315C6"/>
    <w:rsid w:val="73FB6E0A"/>
    <w:rsid w:val="752C3601"/>
    <w:rsid w:val="79647826"/>
    <w:rsid w:val="7A6204C2"/>
    <w:rsid w:val="7A6B5054"/>
    <w:rsid w:val="7C035FE0"/>
    <w:rsid w:val="7C4D1E27"/>
    <w:rsid w:val="7CAE583A"/>
    <w:rsid w:val="7CF62643"/>
    <w:rsid w:val="7D647D98"/>
    <w:rsid w:val="7E127153"/>
    <w:rsid w:val="7EBE5496"/>
    <w:rsid w:val="7F900EC6"/>
    <w:rsid w:val="7FAA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CC7B9FA"/>
  <w15:docId w15:val="{7FE076AD-77C2-4542-AE74-AB905069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ind w:firstLineChars="200" w:firstLine="800"/>
      <w:jc w:val="both"/>
    </w:pPr>
    <w:rPr>
      <w:rFonts w:asciiTheme="minorHAnsi" w:eastAsiaTheme="minorEastAsia" w:hAnsiTheme="minorHAnsi" w:cstheme="minorBidi"/>
      <w:kern w:val="2"/>
      <w:sz w:val="21"/>
      <w:szCs w:val="24"/>
    </w:rPr>
  </w:style>
  <w:style w:type="paragraph" w:styleId="1">
    <w:name w:val="heading 1"/>
    <w:basedOn w:val="a1"/>
    <w:next w:val="a1"/>
    <w:qFormat/>
    <w:pPr>
      <w:spacing w:beforeAutospacing="1" w:afterAutospacing="1"/>
      <w:jc w:val="left"/>
      <w:outlineLvl w:val="0"/>
    </w:pPr>
    <w:rPr>
      <w:rFonts w:ascii="宋体" w:hAnsi="宋体" w:cs="Times New Roman" w:hint="eastAsia"/>
      <w:b/>
      <w:kern w:val="44"/>
      <w:sz w:val="30"/>
      <w:szCs w:val="48"/>
    </w:rPr>
  </w:style>
  <w:style w:type="paragraph" w:styleId="2">
    <w:name w:val="heading 2"/>
    <w:basedOn w:val="a1"/>
    <w:next w:val="a1"/>
    <w:unhideWhenUsed/>
    <w:qFormat/>
    <w:pPr>
      <w:keepNext/>
      <w:keepLines/>
      <w:spacing w:line="413" w:lineRule="auto"/>
      <w:outlineLvl w:val="1"/>
    </w:pPr>
    <w:rPr>
      <w:rFonts w:ascii="Arial" w:hAnsi="Arial"/>
      <w:b/>
      <w:sz w:val="28"/>
    </w:rPr>
  </w:style>
  <w:style w:type="paragraph" w:styleId="3">
    <w:name w:val="heading 3"/>
    <w:basedOn w:val="a1"/>
    <w:next w:val="a1"/>
    <w:unhideWhenUsed/>
    <w:qFormat/>
    <w:pPr>
      <w:keepNext/>
      <w:keepLines/>
      <w:spacing w:line="413" w:lineRule="auto"/>
      <w:outlineLvl w:val="2"/>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Indent"/>
    <w:basedOn w:val="a1"/>
    <w:qFormat/>
    <w:pPr>
      <w:ind w:firstLine="420"/>
    </w:pPr>
    <w:rPr>
      <w:szCs w:val="20"/>
    </w:rPr>
  </w:style>
  <w:style w:type="paragraph" w:styleId="a6">
    <w:name w:val="caption"/>
    <w:basedOn w:val="a1"/>
    <w:next w:val="a1"/>
    <w:qFormat/>
    <w:pPr>
      <w:adjustRightInd w:val="0"/>
      <w:snapToGrid w:val="0"/>
      <w:spacing w:beforeLines="50" w:before="156" w:afterLines="50" w:after="156"/>
      <w:jc w:val="center"/>
    </w:pPr>
    <w:rPr>
      <w:b/>
      <w:color w:val="000000"/>
      <w:szCs w:val="21"/>
    </w:rPr>
  </w:style>
  <w:style w:type="paragraph" w:styleId="a7">
    <w:name w:val="annotation text"/>
    <w:basedOn w:val="a1"/>
    <w:link w:val="a8"/>
    <w:qFormat/>
    <w:pPr>
      <w:jc w:val="left"/>
    </w:pPr>
  </w:style>
  <w:style w:type="paragraph" w:styleId="a9">
    <w:name w:val="Body Text"/>
    <w:basedOn w:val="a1"/>
    <w:autoRedefine/>
    <w:semiHidden/>
    <w:qFormat/>
    <w:rPr>
      <w:rFonts w:ascii="Arial" w:eastAsia="Arial" w:hAnsi="Arial" w:cs="Arial"/>
      <w:szCs w:val="21"/>
      <w:lang w:eastAsia="en-US"/>
    </w:rPr>
  </w:style>
  <w:style w:type="paragraph" w:styleId="aa">
    <w:name w:val="Balloon Text"/>
    <w:basedOn w:val="a1"/>
    <w:link w:val="ab"/>
    <w:qFormat/>
    <w:rPr>
      <w:sz w:val="18"/>
      <w:szCs w:val="18"/>
    </w:rPr>
  </w:style>
  <w:style w:type="paragraph" w:styleId="ac">
    <w:name w:val="footer"/>
    <w:basedOn w:val="a1"/>
    <w:qFormat/>
    <w:pPr>
      <w:tabs>
        <w:tab w:val="center" w:pos="4153"/>
        <w:tab w:val="right" w:pos="8306"/>
      </w:tabs>
      <w:snapToGrid w:val="0"/>
      <w:jc w:val="left"/>
    </w:pPr>
    <w:rPr>
      <w:sz w:val="18"/>
    </w:rPr>
  </w:style>
  <w:style w:type="paragraph" w:styleId="ad">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1"/>
    <w:next w:val="a1"/>
    <w:autoRedefine/>
    <w:uiPriority w:val="39"/>
    <w:qFormat/>
  </w:style>
  <w:style w:type="paragraph" w:styleId="TOC2">
    <w:name w:val="toc 2"/>
    <w:basedOn w:val="a1"/>
    <w:next w:val="a1"/>
    <w:autoRedefine/>
    <w:qFormat/>
    <w:pPr>
      <w:ind w:leftChars="200" w:left="420"/>
    </w:pPr>
  </w:style>
  <w:style w:type="paragraph" w:styleId="ae">
    <w:name w:val="Normal (Web)"/>
    <w:basedOn w:val="a1"/>
    <w:qFormat/>
    <w:pPr>
      <w:spacing w:beforeAutospacing="1" w:afterAutospacing="1"/>
      <w:jc w:val="left"/>
    </w:pPr>
    <w:rPr>
      <w:rFonts w:cs="Times New Roman"/>
      <w:kern w:val="0"/>
      <w:sz w:val="24"/>
    </w:rPr>
  </w:style>
  <w:style w:type="paragraph" w:styleId="af">
    <w:name w:val="annotation subject"/>
    <w:basedOn w:val="a7"/>
    <w:next w:val="a7"/>
    <w:link w:val="af0"/>
    <w:qFormat/>
    <w:rPr>
      <w:b/>
      <w:bCs/>
    </w:rPr>
  </w:style>
  <w:style w:type="table" w:styleId="af1">
    <w:name w:val="Table Grid"/>
    <w:autoRedefine/>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2">
    <w:name w:val="Strong"/>
    <w:basedOn w:val="a2"/>
    <w:uiPriority w:val="22"/>
    <w:qFormat/>
    <w:rPr>
      <w:b/>
      <w:bCs/>
    </w:rPr>
  </w:style>
  <w:style w:type="character" w:styleId="af3">
    <w:name w:val="Hyperlink"/>
    <w:autoRedefine/>
    <w:uiPriority w:val="99"/>
    <w:qFormat/>
    <w:rPr>
      <w:color w:val="0000FF"/>
      <w:u w:val="single"/>
    </w:rPr>
  </w:style>
  <w:style w:type="character" w:styleId="af4">
    <w:name w:val="annotation reference"/>
    <w:basedOn w:val="a2"/>
    <w:qFormat/>
    <w:rPr>
      <w:sz w:val="21"/>
      <w:szCs w:val="21"/>
    </w:rPr>
  </w:style>
  <w:style w:type="paragraph" w:customStyle="1" w:styleId="a0">
    <w:name w:val="章标题"/>
    <w:next w:val="af5"/>
    <w:autoRedefine/>
    <w:qFormat/>
    <w:pPr>
      <w:numPr>
        <w:numId w:val="1"/>
      </w:numPr>
      <w:spacing w:beforeLines="100" w:afterLines="100"/>
      <w:jc w:val="both"/>
      <w:outlineLvl w:val="1"/>
    </w:pPr>
    <w:rPr>
      <w:rFonts w:ascii="黑体" w:eastAsia="黑体" w:hAnsi="黑体"/>
      <w:sz w:val="21"/>
    </w:rPr>
  </w:style>
  <w:style w:type="paragraph" w:customStyle="1" w:styleId="af5">
    <w:name w:val="段"/>
    <w:autoRedefine/>
    <w:qFormat/>
    <w:pPr>
      <w:tabs>
        <w:tab w:val="center" w:pos="4201"/>
        <w:tab w:val="right" w:leader="dot" w:pos="9298"/>
      </w:tabs>
      <w:autoSpaceDE w:val="0"/>
      <w:autoSpaceDN w:val="0"/>
      <w:spacing w:line="360" w:lineRule="auto"/>
      <w:ind w:firstLineChars="200" w:firstLine="420"/>
      <w:jc w:val="both"/>
    </w:pPr>
    <w:rPr>
      <w:rFonts w:ascii="宋体"/>
      <w:sz w:val="21"/>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Text">
    <w:name w:val="Table Text"/>
    <w:autoRedefine/>
    <w:semiHidden/>
    <w:qFormat/>
    <w:pPr>
      <w:widowControl w:val="0"/>
      <w:ind w:firstLineChars="200" w:firstLine="800"/>
      <w:jc w:val="both"/>
    </w:pPr>
    <w:rPr>
      <w:rFonts w:ascii="宋体" w:hAnsi="宋体" w:cs="宋体"/>
      <w:kern w:val="2"/>
      <w:sz w:val="28"/>
      <w:szCs w:val="28"/>
      <w:lang w:eastAsia="en-US"/>
    </w:rPr>
  </w:style>
  <w:style w:type="paragraph" w:customStyle="1" w:styleId="af6">
    <w:name w:val="一级条标题"/>
    <w:next w:val="af5"/>
    <w:autoRedefine/>
    <w:qFormat/>
    <w:pPr>
      <w:spacing w:beforeLines="50" w:afterLines="50"/>
      <w:outlineLvl w:val="2"/>
    </w:pPr>
    <w:rPr>
      <w:rFonts w:ascii="黑体" w:eastAsia="黑体"/>
      <w:sz w:val="21"/>
      <w:szCs w:val="21"/>
    </w:rPr>
  </w:style>
  <w:style w:type="paragraph" w:customStyle="1" w:styleId="af7">
    <w:name w:val="二级条标题"/>
    <w:basedOn w:val="af6"/>
    <w:next w:val="af5"/>
    <w:autoRedefine/>
    <w:qFormat/>
    <w:pPr>
      <w:tabs>
        <w:tab w:val="left" w:pos="360"/>
      </w:tabs>
      <w:spacing w:before="50" w:after="50"/>
      <w:outlineLvl w:val="3"/>
    </w:pPr>
  </w:style>
  <w:style w:type="paragraph" w:customStyle="1" w:styleId="Default">
    <w:name w:val="Default"/>
    <w:autoRedefine/>
    <w:qFormat/>
    <w:pPr>
      <w:widowControl w:val="0"/>
      <w:autoSpaceDE w:val="0"/>
      <w:autoSpaceDN w:val="0"/>
      <w:adjustRightInd w:val="0"/>
    </w:pPr>
    <w:rPr>
      <w:rFonts w:ascii="黑体" w:eastAsia="黑体" w:cs="黑体"/>
      <w:color w:val="000000"/>
      <w:sz w:val="24"/>
      <w:szCs w:val="24"/>
    </w:rPr>
  </w:style>
  <w:style w:type="paragraph" w:customStyle="1" w:styleId="af8">
    <w:name w:val="实施方案正文"/>
    <w:basedOn w:val="a1"/>
    <w:autoRedefine/>
    <w:qFormat/>
    <w:pPr>
      <w:spacing w:beforeLines="50" w:afterLines="50" w:line="500" w:lineRule="exact"/>
      <w:ind w:firstLine="200"/>
    </w:pPr>
    <w:rPr>
      <w:rFonts w:ascii="Calibri" w:eastAsia="仿宋_GB2312" w:hAnsi="Calibri"/>
      <w:sz w:val="28"/>
      <w:szCs w:val="28"/>
    </w:rPr>
  </w:style>
  <w:style w:type="paragraph" w:customStyle="1" w:styleId="10">
    <w:name w:val="无间隔1"/>
    <w:autoRedefine/>
    <w:uiPriority w:val="1"/>
    <w:qFormat/>
    <w:pPr>
      <w:widowControl w:val="0"/>
      <w:jc w:val="center"/>
    </w:pPr>
    <w:rPr>
      <w:rFonts w:ascii="Calibri" w:hAnsi="Calibri"/>
      <w:kern w:val="2"/>
      <w:sz w:val="24"/>
      <w:szCs w:val="22"/>
    </w:rPr>
  </w:style>
  <w:style w:type="paragraph" w:customStyle="1" w:styleId="a">
    <w:name w:val="标准文件_前言、引言标题"/>
    <w:next w:val="a1"/>
    <w:autoRedefine/>
    <w:qFormat/>
    <w:pPr>
      <w:numPr>
        <w:numId w:val="2"/>
      </w:numPr>
      <w:shd w:val="clear" w:color="FFFFFF" w:fill="FFFFFF"/>
      <w:spacing w:before="480" w:afterLines="150" w:after="150"/>
      <w:jc w:val="center"/>
      <w:outlineLvl w:val="0"/>
    </w:pPr>
    <w:rPr>
      <w:rFonts w:ascii="黑体" w:eastAsia="黑体"/>
      <w:sz w:val="32"/>
    </w:rPr>
  </w:style>
  <w:style w:type="paragraph" w:customStyle="1" w:styleId="af9">
    <w:name w:val="标准文件_段"/>
    <w:autoRedefine/>
    <w:qFormat/>
    <w:pPr>
      <w:autoSpaceDE w:val="0"/>
      <w:autoSpaceDN w:val="0"/>
      <w:ind w:firstLineChars="200" w:firstLine="200"/>
      <w:jc w:val="both"/>
    </w:pPr>
    <w:rPr>
      <w:rFonts w:ascii="宋体"/>
      <w:sz w:val="21"/>
    </w:rPr>
  </w:style>
  <w:style w:type="character" w:customStyle="1" w:styleId="CharChar">
    <w:name w:val="Char Char"/>
    <w:autoRedefine/>
    <w:qFormat/>
    <w:rPr>
      <w:rFonts w:ascii="宋体" w:eastAsia="宋体" w:hAnsi="Courier New" w:hint="eastAsia"/>
      <w:kern w:val="2"/>
      <w:sz w:val="21"/>
      <w:lang w:val="en-US" w:eastAsia="zh-CN" w:bidi="ar-SA"/>
    </w:rPr>
  </w:style>
  <w:style w:type="paragraph" w:customStyle="1" w:styleId="afa">
    <w:name w:val="标准文件_页眉奇数页"/>
    <w:next w:val="a1"/>
    <w:autoRedefine/>
    <w:qFormat/>
    <w:pPr>
      <w:tabs>
        <w:tab w:val="center" w:pos="4154"/>
        <w:tab w:val="right" w:pos="8306"/>
      </w:tabs>
      <w:spacing w:after="120"/>
      <w:jc w:val="right"/>
    </w:pPr>
    <w:rPr>
      <w:rFonts w:ascii="黑体" w:eastAsia="黑体" w:hAnsi="宋体"/>
      <w:sz w:val="21"/>
    </w:rPr>
  </w:style>
  <w:style w:type="paragraph" w:customStyle="1" w:styleId="afb">
    <w:name w:val="标准文件_页眉偶数页"/>
    <w:basedOn w:val="afa"/>
    <w:next w:val="a1"/>
    <w:autoRedefine/>
    <w:qFormat/>
    <w:pPr>
      <w:jc w:val="left"/>
    </w:pPr>
  </w:style>
  <w:style w:type="paragraph" w:customStyle="1" w:styleId="afc">
    <w:name w:val="标准文件_页脚奇数页"/>
    <w:autoRedefine/>
    <w:qFormat/>
    <w:pPr>
      <w:ind w:right="227"/>
      <w:jc w:val="right"/>
    </w:pPr>
    <w:rPr>
      <w:rFonts w:ascii="宋体"/>
      <w:sz w:val="18"/>
    </w:rPr>
  </w:style>
  <w:style w:type="paragraph" w:customStyle="1" w:styleId="afd">
    <w:name w:val="标准文件_页脚偶数页"/>
    <w:autoRedefine/>
    <w:qFormat/>
    <w:pPr>
      <w:ind w:left="198"/>
    </w:pPr>
    <w:rPr>
      <w:rFonts w:ascii="宋体"/>
      <w:sz w:val="18"/>
    </w:rPr>
  </w:style>
  <w:style w:type="character" w:customStyle="1" w:styleId="a8">
    <w:name w:val="批注文字 字符"/>
    <w:basedOn w:val="a2"/>
    <w:link w:val="a7"/>
    <w:qFormat/>
    <w:rPr>
      <w:rFonts w:asciiTheme="minorHAnsi" w:eastAsiaTheme="minorEastAsia" w:hAnsiTheme="minorHAnsi" w:cstheme="minorBidi"/>
      <w:kern w:val="2"/>
      <w:sz w:val="21"/>
      <w:szCs w:val="24"/>
    </w:rPr>
  </w:style>
  <w:style w:type="character" w:customStyle="1" w:styleId="af0">
    <w:name w:val="批注主题 字符"/>
    <w:basedOn w:val="a8"/>
    <w:link w:val="af"/>
    <w:qFormat/>
    <w:rPr>
      <w:rFonts w:asciiTheme="minorHAnsi" w:eastAsiaTheme="minorEastAsia" w:hAnsiTheme="minorHAnsi" w:cstheme="minorBidi"/>
      <w:b/>
      <w:bCs/>
      <w:kern w:val="2"/>
      <w:sz w:val="21"/>
      <w:szCs w:val="24"/>
    </w:rPr>
  </w:style>
  <w:style w:type="character" w:customStyle="1" w:styleId="ab">
    <w:name w:val="批注框文本 字符"/>
    <w:basedOn w:val="a2"/>
    <w:link w:val="aa"/>
    <w:qFormat/>
    <w:rPr>
      <w:rFonts w:asciiTheme="minorHAnsi" w:eastAsiaTheme="minorEastAsia" w:hAnsiTheme="minorHAnsi" w:cstheme="minorBidi"/>
      <w:kern w:val="2"/>
      <w:sz w:val="18"/>
      <w:szCs w:val="18"/>
    </w:rPr>
  </w:style>
  <w:style w:type="character" w:customStyle="1" w:styleId="gstkn">
    <w:name w:val="gs_tkn"/>
    <w:basedOn w:val="a2"/>
    <w:qFormat/>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paragraph" w:customStyle="1" w:styleId="TOC10">
    <w:name w:val="TOC 标题1"/>
    <w:basedOn w:val="1"/>
    <w:next w:val="a1"/>
    <w:uiPriority w:val="39"/>
    <w:unhideWhenUsed/>
    <w:qFormat/>
    <w:pPr>
      <w:keepNext/>
      <w:keepLines/>
      <w:widowControl/>
      <w:spacing w:before="240" w:beforeAutospacing="0" w:afterAutospacing="0" w:line="259" w:lineRule="auto"/>
      <w:ind w:firstLineChars="0" w:firstLine="0"/>
      <w:outlineLvl w:val="9"/>
    </w:pPr>
    <w:rPr>
      <w:rFonts w:asciiTheme="majorHAnsi" w:eastAsiaTheme="majorEastAsia" w:hAnsiTheme="majorHAnsi" w:cstheme="majorBidi" w:hint="default"/>
      <w:b w:val="0"/>
      <w:color w:val="2D53A0" w:themeColor="accent1" w:themeShade="BF"/>
      <w:kern w:val="0"/>
      <w:sz w:val="32"/>
      <w:szCs w:val="32"/>
    </w:rPr>
  </w:style>
  <w:style w:type="paragraph" w:customStyle="1" w:styleId="ZDYZ-">
    <w:name w:val="ZDYZ-正文"/>
    <w:basedOn w:val="a1"/>
    <w:link w:val="ZDYZ-Char"/>
    <w:qFormat/>
    <w:pPr>
      <w:autoSpaceDE w:val="0"/>
      <w:autoSpaceDN w:val="0"/>
      <w:snapToGrid w:val="0"/>
      <w:spacing w:line="500" w:lineRule="exact"/>
      <w:ind w:firstLine="200"/>
      <w:textAlignment w:val="bottom"/>
    </w:pPr>
    <w:rPr>
      <w:rFonts w:eastAsia="仿宋_GB2312"/>
      <w:kern w:val="0"/>
      <w:sz w:val="28"/>
    </w:rPr>
  </w:style>
  <w:style w:type="character" w:customStyle="1" w:styleId="ZDYZ-Char">
    <w:name w:val="ZDYZ-正文 Char"/>
    <w:link w:val="ZDYZ-"/>
    <w:qFormat/>
    <w:rPr>
      <w:rFonts w:eastAsia="仿宋_GB2312"/>
      <w:kern w:val="0"/>
      <w:sz w:val="28"/>
    </w:rPr>
  </w:style>
  <w:style w:type="paragraph" w:customStyle="1" w:styleId="20">
    <w:name w:val="修订2"/>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6.wmf"/><Relationship Id="rId42" Type="http://schemas.openxmlformats.org/officeDocument/2006/relationships/oleObject" Target="embeddings/oleObject15.bin"/><Relationship Id="rId47" Type="http://schemas.openxmlformats.org/officeDocument/2006/relationships/oleObject" Target="embeddings/oleObject18.bin"/><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image" Target="media/image31.wmf"/><Relationship Id="rId89" Type="http://schemas.openxmlformats.org/officeDocument/2006/relationships/oleObject" Target="embeddings/oleObject42.bin"/><Relationship Id="rId16" Type="http://schemas.openxmlformats.org/officeDocument/2006/relationships/image" Target="media/image2.png"/><Relationship Id="rId11" Type="http://schemas.openxmlformats.org/officeDocument/2006/relationships/footer" Target="footer1.xml"/><Relationship Id="rId32" Type="http://schemas.openxmlformats.org/officeDocument/2006/relationships/oleObject" Target="embeddings/oleObject8.bin"/><Relationship Id="rId37" Type="http://schemas.openxmlformats.org/officeDocument/2006/relationships/oleObject" Target="embeddings/oleObject11.bin"/><Relationship Id="rId53" Type="http://schemas.openxmlformats.org/officeDocument/2006/relationships/oleObject" Target="embeddings/oleObject21.bin"/><Relationship Id="rId58" Type="http://schemas.openxmlformats.org/officeDocument/2006/relationships/image" Target="media/image20.wmf"/><Relationship Id="rId74" Type="http://schemas.openxmlformats.org/officeDocument/2006/relationships/oleObject" Target="embeddings/oleObject33.bin"/><Relationship Id="rId79" Type="http://schemas.openxmlformats.org/officeDocument/2006/relationships/image" Target="media/image30.wmf"/><Relationship Id="rId102" Type="http://schemas.openxmlformats.org/officeDocument/2006/relationships/header" Target="header4.xml"/><Relationship Id="rId5" Type="http://schemas.openxmlformats.org/officeDocument/2006/relationships/settings" Target="settings.xml"/><Relationship Id="rId90" Type="http://schemas.openxmlformats.org/officeDocument/2006/relationships/image" Target="media/image34.wmf"/><Relationship Id="rId95" Type="http://schemas.openxmlformats.org/officeDocument/2006/relationships/oleObject" Target="embeddings/oleObject46.bin"/><Relationship Id="rId22" Type="http://schemas.openxmlformats.org/officeDocument/2006/relationships/oleObject" Target="embeddings/oleObject2.bin"/><Relationship Id="rId27" Type="http://schemas.openxmlformats.org/officeDocument/2006/relationships/image" Target="media/image9.wmf"/><Relationship Id="rId43" Type="http://schemas.openxmlformats.org/officeDocument/2006/relationships/image" Target="media/image14.wmf"/><Relationship Id="rId48" Type="http://schemas.openxmlformats.org/officeDocument/2006/relationships/image" Target="media/image16.wmf"/><Relationship Id="rId64" Type="http://schemas.openxmlformats.org/officeDocument/2006/relationships/image" Target="media/image23.wmf"/><Relationship Id="rId69" Type="http://schemas.openxmlformats.org/officeDocument/2006/relationships/image" Target="media/image25.wmf"/><Relationship Id="rId80" Type="http://schemas.openxmlformats.org/officeDocument/2006/relationships/oleObject" Target="embeddings/oleObject36.bin"/><Relationship Id="rId85" Type="http://schemas.openxmlformats.org/officeDocument/2006/relationships/oleObject" Target="embeddings/oleObject40.bin"/><Relationship Id="rId12" Type="http://schemas.openxmlformats.org/officeDocument/2006/relationships/footer" Target="footer2.xml"/><Relationship Id="rId17" Type="http://schemas.openxmlformats.org/officeDocument/2006/relationships/image" Target="media/image3.png"/><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oleObject" Target="embeddings/oleObject25.bin"/><Relationship Id="rId103" Type="http://schemas.openxmlformats.org/officeDocument/2006/relationships/footer" Target="footer4.xml"/><Relationship Id="rId20" Type="http://schemas.openxmlformats.org/officeDocument/2006/relationships/oleObject" Target="embeddings/oleObject1.bin"/><Relationship Id="rId41" Type="http://schemas.openxmlformats.org/officeDocument/2006/relationships/oleObject" Target="embeddings/oleObject14.bin"/><Relationship Id="rId54" Type="http://schemas.openxmlformats.org/officeDocument/2006/relationships/oleObject" Target="embeddings/oleObject22.bin"/><Relationship Id="rId62" Type="http://schemas.openxmlformats.org/officeDocument/2006/relationships/image" Target="media/image22.wmf"/><Relationship Id="rId70" Type="http://schemas.openxmlformats.org/officeDocument/2006/relationships/oleObject" Target="embeddings/oleObject31.bin"/><Relationship Id="rId75" Type="http://schemas.openxmlformats.org/officeDocument/2006/relationships/image" Target="media/image28.wmf"/><Relationship Id="rId83" Type="http://schemas.openxmlformats.org/officeDocument/2006/relationships/oleObject" Target="embeddings/oleObject39.bin"/><Relationship Id="rId88" Type="http://schemas.openxmlformats.org/officeDocument/2006/relationships/image" Target="media/image33.wmf"/><Relationship Id="rId91" Type="http://schemas.openxmlformats.org/officeDocument/2006/relationships/oleObject" Target="embeddings/oleObject43.bin"/><Relationship Id="rId96" Type="http://schemas.openxmlformats.org/officeDocument/2006/relationships/image" Target="media/image3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wmf"/><Relationship Id="rId28" Type="http://schemas.openxmlformats.org/officeDocument/2006/relationships/oleObject" Target="embeddings/oleObject5.bin"/><Relationship Id="rId36" Type="http://schemas.openxmlformats.org/officeDocument/2006/relationships/oleObject" Target="embeddings/oleObject10.bin"/><Relationship Id="rId49" Type="http://schemas.openxmlformats.org/officeDocument/2006/relationships/oleObject" Target="embeddings/oleObject19.bin"/><Relationship Id="rId57" Type="http://schemas.openxmlformats.org/officeDocument/2006/relationships/oleObject" Target="embeddings/oleObject24.bin"/><Relationship Id="rId10" Type="http://schemas.openxmlformats.org/officeDocument/2006/relationships/header" Target="header2.xml"/><Relationship Id="rId31" Type="http://schemas.openxmlformats.org/officeDocument/2006/relationships/oleObject" Target="embeddings/oleObject7.bin"/><Relationship Id="rId44" Type="http://schemas.openxmlformats.org/officeDocument/2006/relationships/oleObject" Target="embeddings/oleObject16.bin"/><Relationship Id="rId52" Type="http://schemas.openxmlformats.org/officeDocument/2006/relationships/image" Target="media/image18.wmf"/><Relationship Id="rId60" Type="http://schemas.openxmlformats.org/officeDocument/2006/relationships/image" Target="media/image21.wmf"/><Relationship Id="rId65" Type="http://schemas.openxmlformats.org/officeDocument/2006/relationships/oleObject" Target="embeddings/oleObject28.bin"/><Relationship Id="rId73" Type="http://schemas.openxmlformats.org/officeDocument/2006/relationships/image" Target="media/image27.wmf"/><Relationship Id="rId78" Type="http://schemas.openxmlformats.org/officeDocument/2006/relationships/oleObject" Target="embeddings/oleObject35.bin"/><Relationship Id="rId81" Type="http://schemas.openxmlformats.org/officeDocument/2006/relationships/oleObject" Target="embeddings/oleObject37.bin"/><Relationship Id="rId86" Type="http://schemas.openxmlformats.org/officeDocument/2006/relationships/image" Target="media/image32.wmf"/><Relationship Id="rId94" Type="http://schemas.openxmlformats.org/officeDocument/2006/relationships/image" Target="media/image35.wmf"/><Relationship Id="rId99" Type="http://schemas.openxmlformats.org/officeDocument/2006/relationships/oleObject" Target="embeddings/oleObject48.bin"/><Relationship Id="rId101" Type="http://schemas.openxmlformats.org/officeDocument/2006/relationships/oleObject" Target="embeddings/oleObject49.bin"/><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13.wmf"/><Relationship Id="rId34" Type="http://schemas.openxmlformats.org/officeDocument/2006/relationships/oleObject" Target="embeddings/oleObject9.bin"/><Relationship Id="rId50" Type="http://schemas.openxmlformats.org/officeDocument/2006/relationships/image" Target="media/image17.wmf"/><Relationship Id="rId55" Type="http://schemas.openxmlformats.org/officeDocument/2006/relationships/oleObject" Target="embeddings/oleObject23.bin"/><Relationship Id="rId76" Type="http://schemas.openxmlformats.org/officeDocument/2006/relationships/oleObject" Target="embeddings/oleObject34.bin"/><Relationship Id="rId97" Type="http://schemas.openxmlformats.org/officeDocument/2006/relationships/oleObject" Target="embeddings/oleObject47.bin"/><Relationship Id="rId10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6.wmf"/><Relationship Id="rId92" Type="http://schemas.openxmlformats.org/officeDocument/2006/relationships/oleObject" Target="embeddings/oleObject44.bin"/><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3.bin"/><Relationship Id="rId40" Type="http://schemas.openxmlformats.org/officeDocument/2006/relationships/oleObject" Target="embeddings/oleObject13.bin"/><Relationship Id="rId45" Type="http://schemas.openxmlformats.org/officeDocument/2006/relationships/oleObject" Target="embeddings/oleObject17.bin"/><Relationship Id="rId66" Type="http://schemas.openxmlformats.org/officeDocument/2006/relationships/oleObject" Target="embeddings/oleObject29.bin"/><Relationship Id="rId87" Type="http://schemas.openxmlformats.org/officeDocument/2006/relationships/oleObject" Target="embeddings/oleObject41.bin"/><Relationship Id="rId61" Type="http://schemas.openxmlformats.org/officeDocument/2006/relationships/oleObject" Target="embeddings/oleObject26.bin"/><Relationship Id="rId82" Type="http://schemas.openxmlformats.org/officeDocument/2006/relationships/oleObject" Target="embeddings/oleObject38.bin"/><Relationship Id="rId19" Type="http://schemas.openxmlformats.org/officeDocument/2006/relationships/image" Target="media/image5.wmf"/><Relationship Id="rId14" Type="http://schemas.openxmlformats.org/officeDocument/2006/relationships/footer" Target="footer3.xml"/><Relationship Id="rId30" Type="http://schemas.openxmlformats.org/officeDocument/2006/relationships/oleObject" Target="embeddings/oleObject6.bin"/><Relationship Id="rId35" Type="http://schemas.openxmlformats.org/officeDocument/2006/relationships/image" Target="media/image12.wmf"/><Relationship Id="rId56" Type="http://schemas.openxmlformats.org/officeDocument/2006/relationships/image" Target="media/image19.wmf"/><Relationship Id="rId77" Type="http://schemas.openxmlformats.org/officeDocument/2006/relationships/image" Target="media/image29.wmf"/><Relationship Id="rId100" Type="http://schemas.openxmlformats.org/officeDocument/2006/relationships/image" Target="media/image38.wmf"/><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oleObject" Target="embeddings/oleObject32.bin"/><Relationship Id="rId93" Type="http://schemas.openxmlformats.org/officeDocument/2006/relationships/oleObject" Target="embeddings/oleObject45.bin"/><Relationship Id="rId98" Type="http://schemas.openxmlformats.org/officeDocument/2006/relationships/image" Target="media/image37.wmf"/><Relationship Id="rId3" Type="http://schemas.openxmlformats.org/officeDocument/2006/relationships/numbering" Target="numbering.xml"/><Relationship Id="rId25" Type="http://schemas.openxmlformats.org/officeDocument/2006/relationships/image" Target="media/image8.wmf"/><Relationship Id="rId46" Type="http://schemas.openxmlformats.org/officeDocument/2006/relationships/image" Target="media/image15.wmf"/><Relationship Id="rId67" Type="http://schemas.openxmlformats.org/officeDocument/2006/relationships/image" Target="media/image24.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E5A07428-7D2A-4225-B3BE-D514C95BC2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7429</Words>
  <Characters>8396</Characters>
  <Application>Microsoft Office Word</Application>
  <DocSecurity>0</DocSecurity>
  <Lines>599</Lines>
  <Paragraphs>719</Paragraphs>
  <ScaleCrop>false</ScaleCrop>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风帆</dc:creator>
  <cp:lastModifiedBy>大侠 肖</cp:lastModifiedBy>
  <cp:revision>14</cp:revision>
  <cp:lastPrinted>2024-08-28T08:16:00Z</cp:lastPrinted>
  <dcterms:created xsi:type="dcterms:W3CDTF">2026-08-10T05:17:00Z</dcterms:created>
  <dcterms:modified xsi:type="dcterms:W3CDTF">2026-08-21T08:08:00Z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DDCCCABAB33E426F8CE7DA667EDB823B_13</vt:lpwstr>
  </property>
</Properties>
</file>