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5162" w14:textId="77777777" w:rsidR="00330F3D" w:rsidRDefault="00330F3D">
      <w:pPr>
        <w:rPr>
          <w:rFonts w:cs="Times New Roman"/>
        </w:rPr>
      </w:pPr>
    </w:p>
    <w:p w14:paraId="6CAADE76" w14:textId="77777777" w:rsidR="00330F3D" w:rsidRDefault="00330F3D">
      <w:pPr>
        <w:rPr>
          <w:rFonts w:cs="Times New Roman"/>
        </w:rPr>
      </w:pPr>
    </w:p>
    <w:p w14:paraId="7225481B" w14:textId="77777777" w:rsidR="00330F3D" w:rsidRDefault="00330F3D">
      <w:pPr>
        <w:rPr>
          <w:rFonts w:cs="Times New Roman"/>
        </w:rPr>
      </w:pPr>
    </w:p>
    <w:p w14:paraId="1B4C1BBD" w14:textId="77777777" w:rsidR="00330F3D" w:rsidRDefault="00330F3D">
      <w:pPr>
        <w:rPr>
          <w:rFonts w:cs="Times New Roman"/>
        </w:rPr>
      </w:pPr>
    </w:p>
    <w:p w14:paraId="51D0D2BD" w14:textId="77777777" w:rsidR="00330F3D" w:rsidRDefault="00330F3D">
      <w:pPr>
        <w:rPr>
          <w:rFonts w:cs="Times New Roman"/>
        </w:rPr>
      </w:pPr>
    </w:p>
    <w:p w14:paraId="53317586" w14:textId="77777777" w:rsidR="00330F3D" w:rsidRDefault="00330F3D">
      <w:pPr>
        <w:rPr>
          <w:rFonts w:cs="Times New Roman"/>
        </w:rPr>
      </w:pPr>
    </w:p>
    <w:p w14:paraId="2B767FDB" w14:textId="77777777" w:rsidR="00330F3D" w:rsidRDefault="00330F3D">
      <w:pPr>
        <w:rPr>
          <w:rFonts w:cs="Times New Roman"/>
        </w:rPr>
      </w:pPr>
    </w:p>
    <w:p w14:paraId="7C13B6CB" w14:textId="77777777" w:rsidR="00330F3D" w:rsidRDefault="00330F3D">
      <w:pPr>
        <w:rPr>
          <w:rFonts w:cs="Times New Roman"/>
        </w:rPr>
      </w:pPr>
    </w:p>
    <w:p w14:paraId="1B587977" w14:textId="77777777" w:rsidR="00330F3D" w:rsidRDefault="00330F3D">
      <w:pPr>
        <w:rPr>
          <w:rFonts w:cs="Times New Roman"/>
        </w:rPr>
      </w:pPr>
    </w:p>
    <w:p w14:paraId="2C389D7A" w14:textId="77777777" w:rsidR="00330F3D" w:rsidRPr="00EA0548" w:rsidRDefault="00000000">
      <w:pPr>
        <w:spacing w:line="240" w:lineRule="auto"/>
        <w:ind w:firstLineChars="0" w:firstLine="0"/>
        <w:jc w:val="center"/>
        <w:rPr>
          <w:rFonts w:eastAsia="黑体" w:cs="Times New Roman"/>
          <w:sz w:val="32"/>
        </w:rPr>
      </w:pPr>
      <w:r w:rsidRPr="00EA0548">
        <w:rPr>
          <w:rFonts w:eastAsia="黑体" w:cs="Times New Roman"/>
          <w:sz w:val="32"/>
        </w:rPr>
        <w:t>中国地球物理学会团体标准</w:t>
      </w:r>
    </w:p>
    <w:p w14:paraId="12FE2398" w14:textId="77777777" w:rsidR="00330F3D" w:rsidRPr="00EA0548" w:rsidRDefault="00330F3D">
      <w:pPr>
        <w:rPr>
          <w:rFonts w:cs="Times New Roman"/>
        </w:rPr>
      </w:pPr>
    </w:p>
    <w:p w14:paraId="3AA842A1" w14:textId="77777777" w:rsidR="00330F3D" w:rsidRPr="00EA0548" w:rsidRDefault="00330F3D">
      <w:pPr>
        <w:rPr>
          <w:rFonts w:cs="Times New Roman"/>
        </w:rPr>
      </w:pPr>
    </w:p>
    <w:p w14:paraId="6410EE1B" w14:textId="77777777" w:rsidR="00330F3D" w:rsidRPr="00EA0548" w:rsidRDefault="00000000">
      <w:pPr>
        <w:spacing w:line="240" w:lineRule="auto"/>
        <w:ind w:firstLineChars="0" w:firstLine="0"/>
        <w:jc w:val="center"/>
        <w:rPr>
          <w:rFonts w:eastAsia="黑体" w:cs="Times New Roman"/>
          <w:sz w:val="32"/>
        </w:rPr>
      </w:pPr>
      <w:r w:rsidRPr="00EA0548">
        <w:rPr>
          <w:rFonts w:eastAsia="黑体" w:cs="Times New Roman"/>
          <w:sz w:val="32"/>
        </w:rPr>
        <w:t>《</w:t>
      </w:r>
      <w:r w:rsidRPr="00EA0548">
        <w:rPr>
          <w:rFonts w:eastAsia="黑体" w:cs="Times New Roman" w:hint="eastAsia"/>
          <w:sz w:val="32"/>
        </w:rPr>
        <w:t>油气勘探装备智能导钻仪器振动试验方法</w:t>
      </w:r>
      <w:r w:rsidRPr="00EA0548">
        <w:rPr>
          <w:rFonts w:eastAsia="黑体" w:cs="Times New Roman"/>
          <w:sz w:val="32"/>
        </w:rPr>
        <w:t>》</w:t>
      </w:r>
    </w:p>
    <w:p w14:paraId="788B76EB" w14:textId="77777777" w:rsidR="00330F3D" w:rsidRPr="00EA0548" w:rsidRDefault="00000000">
      <w:pPr>
        <w:spacing w:line="240" w:lineRule="auto"/>
        <w:ind w:firstLineChars="0" w:firstLine="0"/>
        <w:jc w:val="center"/>
        <w:rPr>
          <w:rFonts w:eastAsia="黑体" w:cs="Times New Roman"/>
          <w:sz w:val="32"/>
        </w:rPr>
      </w:pPr>
      <w:r w:rsidRPr="00EA0548">
        <w:rPr>
          <w:rFonts w:eastAsia="黑体" w:cs="Times New Roman"/>
          <w:sz w:val="32"/>
        </w:rPr>
        <w:t>Vibration test method for underground instruments</w:t>
      </w:r>
    </w:p>
    <w:p w14:paraId="195E11E8" w14:textId="77777777" w:rsidR="00330F3D" w:rsidRPr="00EA0548" w:rsidRDefault="00000000">
      <w:pPr>
        <w:spacing w:line="240" w:lineRule="auto"/>
        <w:ind w:firstLineChars="0" w:firstLine="0"/>
        <w:jc w:val="center"/>
        <w:rPr>
          <w:rFonts w:eastAsia="黑体" w:cs="Times New Roman"/>
          <w:sz w:val="32"/>
        </w:rPr>
      </w:pPr>
      <w:r w:rsidRPr="00EA0548">
        <w:rPr>
          <w:rFonts w:eastAsia="黑体" w:cs="Times New Roman"/>
          <w:sz w:val="32"/>
        </w:rPr>
        <w:t>of intelligent oil exploration equipment</w:t>
      </w:r>
    </w:p>
    <w:p w14:paraId="48E1A090" w14:textId="77777777" w:rsidR="00330F3D" w:rsidRPr="00EA0548" w:rsidRDefault="00330F3D">
      <w:pPr>
        <w:rPr>
          <w:rFonts w:cs="Times New Roman"/>
        </w:rPr>
      </w:pPr>
    </w:p>
    <w:p w14:paraId="12D97F65" w14:textId="77777777" w:rsidR="00330F3D" w:rsidRPr="00EA0548" w:rsidRDefault="00000000">
      <w:pPr>
        <w:spacing w:line="240" w:lineRule="auto"/>
        <w:ind w:firstLineChars="0" w:firstLine="0"/>
        <w:jc w:val="center"/>
        <w:rPr>
          <w:rFonts w:eastAsia="黑体" w:cs="Times New Roman"/>
          <w:sz w:val="36"/>
        </w:rPr>
      </w:pPr>
      <w:r w:rsidRPr="00EA0548">
        <w:rPr>
          <w:rFonts w:eastAsia="黑体" w:cs="Times New Roman"/>
          <w:sz w:val="36"/>
        </w:rPr>
        <w:t>编制说明</w:t>
      </w:r>
    </w:p>
    <w:p w14:paraId="3CF8F951" w14:textId="77777777" w:rsidR="00330F3D" w:rsidRPr="00EA0548" w:rsidRDefault="00330F3D">
      <w:pPr>
        <w:rPr>
          <w:rFonts w:cs="Times New Roman"/>
        </w:rPr>
      </w:pPr>
    </w:p>
    <w:p w14:paraId="36817809" w14:textId="77777777" w:rsidR="00330F3D" w:rsidRPr="00EA0548" w:rsidRDefault="00330F3D">
      <w:pPr>
        <w:rPr>
          <w:rFonts w:cs="Times New Roman"/>
        </w:rPr>
      </w:pPr>
    </w:p>
    <w:p w14:paraId="1FE6C26B" w14:textId="77777777" w:rsidR="00330F3D" w:rsidRPr="00EA0548" w:rsidRDefault="00330F3D">
      <w:pPr>
        <w:rPr>
          <w:rFonts w:cs="Times New Roman"/>
        </w:rPr>
      </w:pPr>
    </w:p>
    <w:p w14:paraId="72BD51D8" w14:textId="77777777" w:rsidR="00330F3D" w:rsidRPr="00EA0548" w:rsidRDefault="00330F3D">
      <w:pPr>
        <w:rPr>
          <w:rFonts w:cs="Times New Roman"/>
        </w:rPr>
      </w:pPr>
    </w:p>
    <w:p w14:paraId="63F9B68A" w14:textId="77777777" w:rsidR="00330F3D" w:rsidRPr="00EA0548" w:rsidRDefault="00330F3D">
      <w:pPr>
        <w:rPr>
          <w:rFonts w:cs="Times New Roman"/>
        </w:rPr>
      </w:pPr>
    </w:p>
    <w:p w14:paraId="7DDCBBB3" w14:textId="77777777" w:rsidR="00330F3D" w:rsidRPr="00EA0548" w:rsidRDefault="00330F3D">
      <w:pPr>
        <w:rPr>
          <w:rFonts w:cs="Times New Roman"/>
        </w:rPr>
      </w:pPr>
    </w:p>
    <w:p w14:paraId="1819ADA1" w14:textId="77777777" w:rsidR="00330F3D" w:rsidRPr="00EA0548" w:rsidRDefault="00000000">
      <w:pPr>
        <w:spacing w:line="240" w:lineRule="auto"/>
        <w:ind w:firstLineChars="0" w:firstLine="0"/>
        <w:jc w:val="center"/>
        <w:rPr>
          <w:rFonts w:eastAsia="黑体" w:cs="Times New Roman"/>
          <w:sz w:val="36"/>
        </w:rPr>
      </w:pPr>
      <w:r w:rsidRPr="00EA0548">
        <w:rPr>
          <w:rFonts w:eastAsia="黑体" w:cs="Times New Roman"/>
          <w:sz w:val="36"/>
        </w:rPr>
        <w:t>中国科学院地质与地球物理研究所</w:t>
      </w:r>
    </w:p>
    <w:p w14:paraId="2C26A6AC" w14:textId="15E0B67D" w:rsidR="00330F3D" w:rsidRPr="00EA0548" w:rsidRDefault="00000000">
      <w:pPr>
        <w:spacing w:line="240" w:lineRule="auto"/>
        <w:ind w:firstLineChars="0" w:firstLine="0"/>
        <w:jc w:val="center"/>
        <w:rPr>
          <w:rFonts w:eastAsia="黑体" w:cs="Times New Roman"/>
          <w:sz w:val="36"/>
        </w:rPr>
      </w:pPr>
      <w:r w:rsidRPr="00EA0548">
        <w:rPr>
          <w:rFonts w:eastAsia="黑体" w:cs="Times New Roman"/>
          <w:sz w:val="36"/>
        </w:rPr>
        <w:t>2025</w:t>
      </w:r>
      <w:r w:rsidRPr="00EA0548">
        <w:rPr>
          <w:rFonts w:eastAsia="黑体" w:cs="Times New Roman"/>
          <w:sz w:val="36"/>
        </w:rPr>
        <w:t>年</w:t>
      </w:r>
      <w:r w:rsidR="00552DBB" w:rsidRPr="00EA0548">
        <w:rPr>
          <w:rFonts w:eastAsia="黑体" w:cs="Times New Roman" w:hint="eastAsia"/>
          <w:sz w:val="36"/>
        </w:rPr>
        <w:t>5</w:t>
      </w:r>
      <w:r w:rsidRPr="00EA0548">
        <w:rPr>
          <w:rFonts w:eastAsia="黑体" w:cs="Times New Roman"/>
          <w:sz w:val="36"/>
        </w:rPr>
        <w:t>月</w:t>
      </w:r>
    </w:p>
    <w:p w14:paraId="61D4DC44" w14:textId="77777777" w:rsidR="00330F3D" w:rsidRPr="00EA0548" w:rsidRDefault="00330F3D">
      <w:pPr>
        <w:rPr>
          <w:rFonts w:cs="Times New Roman"/>
        </w:rPr>
      </w:pPr>
    </w:p>
    <w:p w14:paraId="3E12F6FE" w14:textId="77777777" w:rsidR="00330F3D" w:rsidRPr="00EA0548" w:rsidRDefault="00330F3D">
      <w:pPr>
        <w:rPr>
          <w:rFonts w:cs="Times New Roman"/>
        </w:rPr>
      </w:pPr>
    </w:p>
    <w:sdt>
      <w:sdtPr>
        <w:rPr>
          <w:rFonts w:ascii="Times New Roman" w:eastAsia="宋体" w:hAnsi="Times New Roman" w:cs="Times New Roman"/>
          <w:color w:val="auto"/>
          <w:kern w:val="2"/>
          <w:sz w:val="24"/>
          <w:szCs w:val="22"/>
          <w:lang w:val="zh-CN"/>
        </w:rPr>
        <w:id w:val="-1021320820"/>
        <w:docPartObj>
          <w:docPartGallery w:val="Table of Contents"/>
          <w:docPartUnique/>
        </w:docPartObj>
      </w:sdtPr>
      <w:sdtEndPr>
        <w:rPr>
          <w:b/>
          <w:bCs/>
        </w:rPr>
      </w:sdtEndPr>
      <w:sdtContent>
        <w:p w14:paraId="789A4364" w14:textId="77777777" w:rsidR="00330F3D" w:rsidRPr="00EA0548" w:rsidRDefault="00000000">
          <w:pPr>
            <w:pStyle w:val="TOC10"/>
            <w:jc w:val="center"/>
            <w:rPr>
              <w:rFonts w:ascii="Times New Roman" w:eastAsia="黑体" w:hAnsi="Times New Roman" w:cs="Times New Roman"/>
              <w:color w:val="auto"/>
              <w:sz w:val="36"/>
              <w:lang w:val="zh-CN"/>
            </w:rPr>
          </w:pPr>
          <w:r w:rsidRPr="00EA0548">
            <w:rPr>
              <w:rFonts w:ascii="Times New Roman" w:eastAsia="黑体" w:hAnsi="Times New Roman" w:cs="Times New Roman"/>
              <w:color w:val="auto"/>
              <w:sz w:val="36"/>
              <w:lang w:val="zh-CN"/>
            </w:rPr>
            <w:t>目</w:t>
          </w:r>
          <w:r w:rsidRPr="00EA0548">
            <w:rPr>
              <w:rFonts w:ascii="Times New Roman" w:eastAsia="黑体" w:hAnsi="Times New Roman" w:cs="Times New Roman"/>
              <w:color w:val="auto"/>
              <w:sz w:val="36"/>
              <w:lang w:val="zh-CN"/>
            </w:rPr>
            <w:t xml:space="preserve">  </w:t>
          </w:r>
          <w:r w:rsidRPr="00EA0548">
            <w:rPr>
              <w:rFonts w:ascii="Times New Roman" w:eastAsia="黑体" w:hAnsi="Times New Roman" w:cs="Times New Roman"/>
              <w:color w:val="auto"/>
              <w:sz w:val="36"/>
              <w:lang w:val="zh-CN"/>
            </w:rPr>
            <w:t>录</w:t>
          </w:r>
        </w:p>
        <w:p w14:paraId="51183A5B" w14:textId="77777777" w:rsidR="00330F3D" w:rsidRPr="00EA0548" w:rsidRDefault="00000000">
          <w:pPr>
            <w:pStyle w:val="TOC1"/>
            <w:tabs>
              <w:tab w:val="right" w:leader="dot" w:pos="8296"/>
            </w:tabs>
            <w:ind w:firstLineChars="0" w:firstLine="0"/>
            <w:rPr>
              <w:rFonts w:eastAsiaTheme="minorEastAsia" w:cs="Times New Roman"/>
              <w:sz w:val="22"/>
              <w:szCs w:val="24"/>
              <w14:ligatures w14:val="standardContextual"/>
            </w:rPr>
          </w:pPr>
          <w:r w:rsidRPr="00EA0548">
            <w:rPr>
              <w:rFonts w:cs="Times New Roman"/>
            </w:rPr>
            <w:fldChar w:fldCharType="begin"/>
          </w:r>
          <w:r w:rsidRPr="00EA0548">
            <w:rPr>
              <w:rFonts w:cs="Times New Roman"/>
            </w:rPr>
            <w:instrText xml:space="preserve"> TOC \o "1-2" \h \z \u </w:instrText>
          </w:r>
          <w:r w:rsidRPr="00EA0548">
            <w:rPr>
              <w:rFonts w:cs="Times New Roman"/>
            </w:rPr>
            <w:fldChar w:fldCharType="separate"/>
          </w:r>
          <w:hyperlink w:anchor="_Toc195030351" w:history="1">
            <w:r w:rsidR="00330F3D" w:rsidRPr="00EA0548">
              <w:rPr>
                <w:rStyle w:val="af4"/>
                <w:rFonts w:cs="Times New Roman"/>
              </w:rPr>
              <w:t xml:space="preserve">1. </w:t>
            </w:r>
            <w:r w:rsidR="00330F3D" w:rsidRPr="00EA0548">
              <w:rPr>
                <w:rStyle w:val="af4"/>
                <w:rFonts w:cs="Times New Roman"/>
              </w:rPr>
              <w:t>工作简况</w:t>
            </w:r>
            <w:r w:rsidR="00330F3D" w:rsidRPr="00EA0548">
              <w:rPr>
                <w:rFonts w:cs="Times New Roman"/>
              </w:rPr>
              <w:tab/>
            </w:r>
            <w:r w:rsidR="00330F3D" w:rsidRPr="00EA0548">
              <w:rPr>
                <w:rFonts w:cs="Times New Roman"/>
              </w:rPr>
              <w:fldChar w:fldCharType="begin"/>
            </w:r>
            <w:r w:rsidR="00330F3D" w:rsidRPr="00EA0548">
              <w:rPr>
                <w:rFonts w:cs="Times New Roman"/>
              </w:rPr>
              <w:instrText xml:space="preserve"> PAGEREF _Toc195030351 \h </w:instrText>
            </w:r>
            <w:r w:rsidR="00330F3D" w:rsidRPr="00EA0548">
              <w:rPr>
                <w:rFonts w:cs="Times New Roman"/>
              </w:rPr>
            </w:r>
            <w:r w:rsidR="00330F3D" w:rsidRPr="00EA0548">
              <w:rPr>
                <w:rFonts w:cs="Times New Roman"/>
              </w:rPr>
              <w:fldChar w:fldCharType="separate"/>
            </w:r>
            <w:r w:rsidR="00330F3D" w:rsidRPr="00EA0548">
              <w:rPr>
                <w:rFonts w:cs="Times New Roman"/>
              </w:rPr>
              <w:t>1</w:t>
            </w:r>
            <w:r w:rsidR="00330F3D" w:rsidRPr="00EA0548">
              <w:rPr>
                <w:rFonts w:cs="Times New Roman"/>
              </w:rPr>
              <w:fldChar w:fldCharType="end"/>
            </w:r>
          </w:hyperlink>
        </w:p>
        <w:p w14:paraId="2983859C"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52" w:history="1">
            <w:r w:rsidRPr="00EA0548">
              <w:rPr>
                <w:rStyle w:val="af4"/>
                <w:rFonts w:cs="Times New Roman"/>
              </w:rPr>
              <w:t xml:space="preserve">1.1 </w:t>
            </w:r>
            <w:r w:rsidRPr="00EA0548">
              <w:rPr>
                <w:rStyle w:val="af4"/>
                <w:rFonts w:cs="Times New Roman"/>
              </w:rPr>
              <w:t>任务来源</w:t>
            </w:r>
            <w:r w:rsidRPr="00EA0548">
              <w:rPr>
                <w:rFonts w:cs="Times New Roman"/>
              </w:rPr>
              <w:tab/>
            </w:r>
            <w:r w:rsidRPr="00EA0548">
              <w:rPr>
                <w:rFonts w:cs="Times New Roman"/>
              </w:rPr>
              <w:fldChar w:fldCharType="begin"/>
            </w:r>
            <w:r w:rsidRPr="00EA0548">
              <w:rPr>
                <w:rFonts w:cs="Times New Roman"/>
              </w:rPr>
              <w:instrText xml:space="preserve"> PAGEREF _Toc195030352 \h </w:instrText>
            </w:r>
            <w:r w:rsidRPr="00EA0548">
              <w:rPr>
                <w:rFonts w:cs="Times New Roman"/>
              </w:rPr>
            </w:r>
            <w:r w:rsidRPr="00EA0548">
              <w:rPr>
                <w:rFonts w:cs="Times New Roman"/>
              </w:rPr>
              <w:fldChar w:fldCharType="separate"/>
            </w:r>
            <w:r w:rsidRPr="00EA0548">
              <w:rPr>
                <w:rFonts w:cs="Times New Roman"/>
              </w:rPr>
              <w:t>1</w:t>
            </w:r>
            <w:r w:rsidRPr="00EA0548">
              <w:rPr>
                <w:rFonts w:cs="Times New Roman"/>
              </w:rPr>
              <w:fldChar w:fldCharType="end"/>
            </w:r>
          </w:hyperlink>
        </w:p>
        <w:p w14:paraId="35A96F44"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53" w:history="1">
            <w:r w:rsidRPr="00EA0548">
              <w:rPr>
                <w:rStyle w:val="af4"/>
                <w:rFonts w:cs="Times New Roman"/>
              </w:rPr>
              <w:t xml:space="preserve">1.2 </w:t>
            </w:r>
            <w:r w:rsidRPr="00EA0548">
              <w:rPr>
                <w:rStyle w:val="af4"/>
                <w:rFonts w:cs="Times New Roman"/>
              </w:rPr>
              <w:t>主要工作过程</w:t>
            </w:r>
            <w:r w:rsidRPr="00EA0548">
              <w:rPr>
                <w:rFonts w:cs="Times New Roman"/>
              </w:rPr>
              <w:tab/>
            </w:r>
            <w:r w:rsidRPr="00EA0548">
              <w:rPr>
                <w:rFonts w:cs="Times New Roman"/>
              </w:rPr>
              <w:fldChar w:fldCharType="begin"/>
            </w:r>
            <w:r w:rsidRPr="00EA0548">
              <w:rPr>
                <w:rFonts w:cs="Times New Roman"/>
              </w:rPr>
              <w:instrText xml:space="preserve"> PAGEREF _Toc195030353 \h </w:instrText>
            </w:r>
            <w:r w:rsidRPr="00EA0548">
              <w:rPr>
                <w:rFonts w:cs="Times New Roman"/>
              </w:rPr>
            </w:r>
            <w:r w:rsidRPr="00EA0548">
              <w:rPr>
                <w:rFonts w:cs="Times New Roman"/>
              </w:rPr>
              <w:fldChar w:fldCharType="separate"/>
            </w:r>
            <w:r w:rsidRPr="00EA0548">
              <w:rPr>
                <w:rFonts w:cs="Times New Roman"/>
              </w:rPr>
              <w:t>1</w:t>
            </w:r>
            <w:r w:rsidRPr="00EA0548">
              <w:rPr>
                <w:rFonts w:cs="Times New Roman"/>
              </w:rPr>
              <w:fldChar w:fldCharType="end"/>
            </w:r>
          </w:hyperlink>
        </w:p>
        <w:p w14:paraId="401E4305"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54" w:history="1">
            <w:r w:rsidRPr="00EA0548">
              <w:rPr>
                <w:rStyle w:val="af4"/>
                <w:rFonts w:cs="Times New Roman"/>
              </w:rPr>
              <w:t xml:space="preserve">2. </w:t>
            </w:r>
            <w:r w:rsidRPr="00EA0548">
              <w:rPr>
                <w:rStyle w:val="af4"/>
                <w:rFonts w:cs="Times New Roman"/>
              </w:rPr>
              <w:t>标准编制原则和主要内容</w:t>
            </w:r>
            <w:r w:rsidRPr="00EA0548">
              <w:rPr>
                <w:rFonts w:cs="Times New Roman"/>
              </w:rPr>
              <w:tab/>
            </w:r>
            <w:r w:rsidRPr="00EA0548">
              <w:rPr>
                <w:rFonts w:cs="Times New Roman"/>
              </w:rPr>
              <w:fldChar w:fldCharType="begin"/>
            </w:r>
            <w:r w:rsidRPr="00EA0548">
              <w:rPr>
                <w:rFonts w:cs="Times New Roman"/>
              </w:rPr>
              <w:instrText xml:space="preserve"> PAGEREF _Toc195030354 \h </w:instrText>
            </w:r>
            <w:r w:rsidRPr="00EA0548">
              <w:rPr>
                <w:rFonts w:cs="Times New Roman"/>
              </w:rPr>
            </w:r>
            <w:r w:rsidRPr="00EA0548">
              <w:rPr>
                <w:rFonts w:cs="Times New Roman"/>
              </w:rPr>
              <w:fldChar w:fldCharType="separate"/>
            </w:r>
            <w:r w:rsidRPr="00EA0548">
              <w:rPr>
                <w:rFonts w:cs="Times New Roman"/>
              </w:rPr>
              <w:t>2</w:t>
            </w:r>
            <w:r w:rsidRPr="00EA0548">
              <w:rPr>
                <w:rFonts w:cs="Times New Roman"/>
              </w:rPr>
              <w:fldChar w:fldCharType="end"/>
            </w:r>
          </w:hyperlink>
        </w:p>
        <w:p w14:paraId="63FDDCF3"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55" w:history="1">
            <w:r w:rsidRPr="00EA0548">
              <w:rPr>
                <w:rStyle w:val="af4"/>
                <w:rFonts w:cs="Times New Roman"/>
              </w:rPr>
              <w:t xml:space="preserve">2.1 </w:t>
            </w:r>
            <w:r w:rsidRPr="00EA0548">
              <w:rPr>
                <w:rStyle w:val="af4"/>
                <w:rFonts w:cs="Times New Roman"/>
              </w:rPr>
              <w:t>标准编制原则</w:t>
            </w:r>
            <w:r w:rsidRPr="00EA0548">
              <w:rPr>
                <w:rFonts w:cs="Times New Roman"/>
              </w:rPr>
              <w:tab/>
            </w:r>
            <w:r w:rsidRPr="00EA0548">
              <w:rPr>
                <w:rFonts w:cs="Times New Roman"/>
              </w:rPr>
              <w:fldChar w:fldCharType="begin"/>
            </w:r>
            <w:r w:rsidRPr="00EA0548">
              <w:rPr>
                <w:rFonts w:cs="Times New Roman"/>
              </w:rPr>
              <w:instrText xml:space="preserve"> PAGEREF _Toc195030355 \h </w:instrText>
            </w:r>
            <w:r w:rsidRPr="00EA0548">
              <w:rPr>
                <w:rFonts w:cs="Times New Roman"/>
              </w:rPr>
            </w:r>
            <w:r w:rsidRPr="00EA0548">
              <w:rPr>
                <w:rFonts w:cs="Times New Roman"/>
              </w:rPr>
              <w:fldChar w:fldCharType="separate"/>
            </w:r>
            <w:r w:rsidRPr="00EA0548">
              <w:rPr>
                <w:rFonts w:cs="Times New Roman"/>
              </w:rPr>
              <w:t>2</w:t>
            </w:r>
            <w:r w:rsidRPr="00EA0548">
              <w:rPr>
                <w:rFonts w:cs="Times New Roman"/>
              </w:rPr>
              <w:fldChar w:fldCharType="end"/>
            </w:r>
          </w:hyperlink>
        </w:p>
        <w:p w14:paraId="1D1230B8"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56" w:history="1">
            <w:r w:rsidRPr="00EA0548">
              <w:rPr>
                <w:rStyle w:val="af4"/>
                <w:rFonts w:cs="Times New Roman"/>
              </w:rPr>
              <w:t xml:space="preserve">2.2 </w:t>
            </w:r>
            <w:r w:rsidRPr="00EA0548">
              <w:rPr>
                <w:rStyle w:val="af4"/>
                <w:rFonts w:cs="Times New Roman"/>
              </w:rPr>
              <w:t>标准主要内容</w:t>
            </w:r>
            <w:r w:rsidRPr="00EA0548">
              <w:rPr>
                <w:rFonts w:cs="Times New Roman"/>
              </w:rPr>
              <w:tab/>
            </w:r>
            <w:r w:rsidRPr="00EA0548">
              <w:rPr>
                <w:rFonts w:cs="Times New Roman"/>
              </w:rPr>
              <w:fldChar w:fldCharType="begin"/>
            </w:r>
            <w:r w:rsidRPr="00EA0548">
              <w:rPr>
                <w:rFonts w:cs="Times New Roman"/>
              </w:rPr>
              <w:instrText xml:space="preserve"> PAGEREF _Toc195030356 \h </w:instrText>
            </w:r>
            <w:r w:rsidRPr="00EA0548">
              <w:rPr>
                <w:rFonts w:cs="Times New Roman"/>
              </w:rPr>
            </w:r>
            <w:r w:rsidRPr="00EA0548">
              <w:rPr>
                <w:rFonts w:cs="Times New Roman"/>
              </w:rPr>
              <w:fldChar w:fldCharType="separate"/>
            </w:r>
            <w:r w:rsidRPr="00EA0548">
              <w:rPr>
                <w:rFonts w:cs="Times New Roman"/>
              </w:rPr>
              <w:t>3</w:t>
            </w:r>
            <w:r w:rsidRPr="00EA0548">
              <w:rPr>
                <w:rFonts w:cs="Times New Roman"/>
              </w:rPr>
              <w:fldChar w:fldCharType="end"/>
            </w:r>
          </w:hyperlink>
        </w:p>
        <w:p w14:paraId="5DE3BF89"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57" w:history="1">
            <w:r w:rsidRPr="00EA0548">
              <w:rPr>
                <w:rStyle w:val="af4"/>
                <w:rFonts w:cs="Times New Roman"/>
              </w:rPr>
              <w:t xml:space="preserve">3. </w:t>
            </w:r>
            <w:r w:rsidRPr="00EA0548">
              <w:rPr>
                <w:rStyle w:val="af4"/>
                <w:rFonts w:cs="Times New Roman"/>
              </w:rPr>
              <w:t>主要试验（或验证）的分析、综述报告，技术经济论证，预期的经济效果</w:t>
            </w:r>
            <w:r w:rsidRPr="00EA0548">
              <w:rPr>
                <w:rFonts w:cs="Times New Roman"/>
              </w:rPr>
              <w:tab/>
            </w:r>
            <w:r w:rsidRPr="00EA0548">
              <w:rPr>
                <w:rFonts w:cs="Times New Roman"/>
              </w:rPr>
              <w:fldChar w:fldCharType="begin"/>
            </w:r>
            <w:r w:rsidRPr="00EA0548">
              <w:rPr>
                <w:rFonts w:cs="Times New Roman"/>
              </w:rPr>
              <w:instrText xml:space="preserve"> PAGEREF _Toc195030357 \h </w:instrText>
            </w:r>
            <w:r w:rsidRPr="00EA0548">
              <w:rPr>
                <w:rFonts w:cs="Times New Roman"/>
              </w:rPr>
            </w:r>
            <w:r w:rsidRPr="00EA0548">
              <w:rPr>
                <w:rFonts w:cs="Times New Roman"/>
              </w:rPr>
              <w:fldChar w:fldCharType="separate"/>
            </w:r>
            <w:r w:rsidRPr="00EA0548">
              <w:rPr>
                <w:rFonts w:cs="Times New Roman"/>
              </w:rPr>
              <w:t>3</w:t>
            </w:r>
            <w:r w:rsidRPr="00EA0548">
              <w:rPr>
                <w:rFonts w:cs="Times New Roman"/>
              </w:rPr>
              <w:fldChar w:fldCharType="end"/>
            </w:r>
          </w:hyperlink>
        </w:p>
        <w:p w14:paraId="0537C98F"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58" w:history="1">
            <w:r w:rsidRPr="00EA0548">
              <w:rPr>
                <w:rStyle w:val="af4"/>
                <w:rFonts w:cs="Times New Roman"/>
              </w:rPr>
              <w:t xml:space="preserve">3.1 </w:t>
            </w:r>
            <w:r w:rsidRPr="00EA0548">
              <w:rPr>
                <w:rStyle w:val="af4"/>
                <w:rFonts w:cs="Times New Roman"/>
              </w:rPr>
              <w:t>主要试验（或验证）分析</w:t>
            </w:r>
            <w:r w:rsidRPr="00EA0548">
              <w:rPr>
                <w:rFonts w:cs="Times New Roman"/>
              </w:rPr>
              <w:tab/>
            </w:r>
            <w:r w:rsidRPr="00EA0548">
              <w:rPr>
                <w:rFonts w:cs="Times New Roman"/>
              </w:rPr>
              <w:fldChar w:fldCharType="begin"/>
            </w:r>
            <w:r w:rsidRPr="00EA0548">
              <w:rPr>
                <w:rFonts w:cs="Times New Roman"/>
              </w:rPr>
              <w:instrText xml:space="preserve"> PAGEREF _Toc195030358 \h </w:instrText>
            </w:r>
            <w:r w:rsidRPr="00EA0548">
              <w:rPr>
                <w:rFonts w:cs="Times New Roman"/>
              </w:rPr>
            </w:r>
            <w:r w:rsidRPr="00EA0548">
              <w:rPr>
                <w:rFonts w:cs="Times New Roman"/>
              </w:rPr>
              <w:fldChar w:fldCharType="separate"/>
            </w:r>
            <w:r w:rsidRPr="00EA0548">
              <w:rPr>
                <w:rFonts w:cs="Times New Roman"/>
              </w:rPr>
              <w:t>3</w:t>
            </w:r>
            <w:r w:rsidRPr="00EA0548">
              <w:rPr>
                <w:rFonts w:cs="Times New Roman"/>
              </w:rPr>
              <w:fldChar w:fldCharType="end"/>
            </w:r>
          </w:hyperlink>
        </w:p>
        <w:p w14:paraId="483C1DCF"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59" w:history="1">
            <w:r w:rsidRPr="00EA0548">
              <w:rPr>
                <w:rStyle w:val="af4"/>
                <w:rFonts w:cs="Times New Roman"/>
              </w:rPr>
              <w:t xml:space="preserve">3.2 </w:t>
            </w:r>
            <w:r w:rsidRPr="00EA0548">
              <w:rPr>
                <w:rStyle w:val="af4"/>
                <w:rFonts w:cs="Times New Roman"/>
              </w:rPr>
              <w:t>综述报告</w:t>
            </w:r>
            <w:r w:rsidRPr="00EA0548">
              <w:rPr>
                <w:rFonts w:cs="Times New Roman"/>
              </w:rPr>
              <w:tab/>
            </w:r>
            <w:r w:rsidRPr="00EA0548">
              <w:rPr>
                <w:rFonts w:cs="Times New Roman"/>
              </w:rPr>
              <w:fldChar w:fldCharType="begin"/>
            </w:r>
            <w:r w:rsidRPr="00EA0548">
              <w:rPr>
                <w:rFonts w:cs="Times New Roman"/>
              </w:rPr>
              <w:instrText xml:space="preserve"> PAGEREF _Toc195030359 \h </w:instrText>
            </w:r>
            <w:r w:rsidRPr="00EA0548">
              <w:rPr>
                <w:rFonts w:cs="Times New Roman"/>
              </w:rPr>
            </w:r>
            <w:r w:rsidRPr="00EA0548">
              <w:rPr>
                <w:rFonts w:cs="Times New Roman"/>
              </w:rPr>
              <w:fldChar w:fldCharType="separate"/>
            </w:r>
            <w:r w:rsidRPr="00EA0548">
              <w:rPr>
                <w:rFonts w:cs="Times New Roman"/>
              </w:rPr>
              <w:t>4</w:t>
            </w:r>
            <w:r w:rsidRPr="00EA0548">
              <w:rPr>
                <w:rFonts w:cs="Times New Roman"/>
              </w:rPr>
              <w:fldChar w:fldCharType="end"/>
            </w:r>
          </w:hyperlink>
        </w:p>
        <w:p w14:paraId="45506424"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60" w:history="1">
            <w:r w:rsidRPr="00EA0548">
              <w:rPr>
                <w:rStyle w:val="af4"/>
                <w:rFonts w:cs="Times New Roman"/>
              </w:rPr>
              <w:t xml:space="preserve">3.3 </w:t>
            </w:r>
            <w:r w:rsidRPr="00EA0548">
              <w:rPr>
                <w:rStyle w:val="af4"/>
                <w:rFonts w:cs="Times New Roman"/>
              </w:rPr>
              <w:t>技术经济论证</w:t>
            </w:r>
            <w:r w:rsidRPr="00EA0548">
              <w:rPr>
                <w:rFonts w:cs="Times New Roman"/>
              </w:rPr>
              <w:tab/>
            </w:r>
            <w:r w:rsidRPr="00EA0548">
              <w:rPr>
                <w:rFonts w:cs="Times New Roman"/>
              </w:rPr>
              <w:fldChar w:fldCharType="begin"/>
            </w:r>
            <w:r w:rsidRPr="00EA0548">
              <w:rPr>
                <w:rFonts w:cs="Times New Roman"/>
              </w:rPr>
              <w:instrText xml:space="preserve"> PAGEREF _Toc195030360 \h </w:instrText>
            </w:r>
            <w:r w:rsidRPr="00EA0548">
              <w:rPr>
                <w:rFonts w:cs="Times New Roman"/>
              </w:rPr>
            </w:r>
            <w:r w:rsidRPr="00EA0548">
              <w:rPr>
                <w:rFonts w:cs="Times New Roman"/>
              </w:rPr>
              <w:fldChar w:fldCharType="separate"/>
            </w:r>
            <w:r w:rsidRPr="00EA0548">
              <w:rPr>
                <w:rFonts w:cs="Times New Roman"/>
              </w:rPr>
              <w:t>5</w:t>
            </w:r>
            <w:r w:rsidRPr="00EA0548">
              <w:rPr>
                <w:rFonts w:cs="Times New Roman"/>
              </w:rPr>
              <w:fldChar w:fldCharType="end"/>
            </w:r>
          </w:hyperlink>
        </w:p>
        <w:p w14:paraId="381EA008"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61" w:history="1">
            <w:r w:rsidRPr="00EA0548">
              <w:rPr>
                <w:rStyle w:val="af4"/>
                <w:rFonts w:cs="Times New Roman"/>
              </w:rPr>
              <w:t xml:space="preserve">3.4 </w:t>
            </w:r>
            <w:r w:rsidRPr="00EA0548">
              <w:rPr>
                <w:rStyle w:val="af4"/>
                <w:rFonts w:cs="Times New Roman"/>
              </w:rPr>
              <w:t>预期经济效果</w:t>
            </w:r>
            <w:r w:rsidRPr="00EA0548">
              <w:rPr>
                <w:rFonts w:cs="Times New Roman"/>
              </w:rPr>
              <w:tab/>
            </w:r>
            <w:r w:rsidRPr="00EA0548">
              <w:rPr>
                <w:rFonts w:cs="Times New Roman"/>
              </w:rPr>
              <w:fldChar w:fldCharType="begin"/>
            </w:r>
            <w:r w:rsidRPr="00EA0548">
              <w:rPr>
                <w:rFonts w:cs="Times New Roman"/>
              </w:rPr>
              <w:instrText xml:space="preserve"> PAGEREF _Toc195030361 \h </w:instrText>
            </w:r>
            <w:r w:rsidRPr="00EA0548">
              <w:rPr>
                <w:rFonts w:cs="Times New Roman"/>
              </w:rPr>
            </w:r>
            <w:r w:rsidRPr="00EA0548">
              <w:rPr>
                <w:rFonts w:cs="Times New Roman"/>
              </w:rPr>
              <w:fldChar w:fldCharType="separate"/>
            </w:r>
            <w:r w:rsidRPr="00EA0548">
              <w:rPr>
                <w:rFonts w:cs="Times New Roman"/>
              </w:rPr>
              <w:t>6</w:t>
            </w:r>
            <w:r w:rsidRPr="00EA0548">
              <w:rPr>
                <w:rFonts w:cs="Times New Roman"/>
              </w:rPr>
              <w:fldChar w:fldCharType="end"/>
            </w:r>
          </w:hyperlink>
        </w:p>
        <w:p w14:paraId="09EE1C6A"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62" w:history="1">
            <w:r w:rsidRPr="00EA0548">
              <w:rPr>
                <w:rStyle w:val="af4"/>
                <w:rFonts w:cs="Times New Roman"/>
              </w:rPr>
              <w:t xml:space="preserve">4. </w:t>
            </w:r>
            <w:r w:rsidRPr="00EA0548">
              <w:rPr>
                <w:rStyle w:val="af4"/>
                <w:rFonts w:cs="Times New Roman"/>
              </w:rPr>
              <w:t>与国际、国外同类标准水平的对比情况</w:t>
            </w:r>
            <w:r w:rsidRPr="00EA0548">
              <w:rPr>
                <w:rFonts w:cs="Times New Roman"/>
              </w:rPr>
              <w:tab/>
            </w:r>
            <w:r w:rsidRPr="00EA0548">
              <w:rPr>
                <w:rFonts w:cs="Times New Roman"/>
              </w:rPr>
              <w:fldChar w:fldCharType="begin"/>
            </w:r>
            <w:r w:rsidRPr="00EA0548">
              <w:rPr>
                <w:rFonts w:cs="Times New Roman"/>
              </w:rPr>
              <w:instrText xml:space="preserve"> PAGEREF _Toc195030362 \h </w:instrText>
            </w:r>
            <w:r w:rsidRPr="00EA0548">
              <w:rPr>
                <w:rFonts w:cs="Times New Roman"/>
              </w:rPr>
            </w:r>
            <w:r w:rsidRPr="00EA0548">
              <w:rPr>
                <w:rFonts w:cs="Times New Roman"/>
              </w:rPr>
              <w:fldChar w:fldCharType="separate"/>
            </w:r>
            <w:r w:rsidRPr="00EA0548">
              <w:rPr>
                <w:rFonts w:cs="Times New Roman"/>
              </w:rPr>
              <w:t>6</w:t>
            </w:r>
            <w:r w:rsidRPr="00EA0548">
              <w:rPr>
                <w:rFonts w:cs="Times New Roman"/>
              </w:rPr>
              <w:fldChar w:fldCharType="end"/>
            </w:r>
          </w:hyperlink>
        </w:p>
        <w:p w14:paraId="0EC4C941"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63" w:history="1">
            <w:r w:rsidRPr="00EA0548">
              <w:rPr>
                <w:rStyle w:val="af4"/>
                <w:rFonts w:cs="Times New Roman"/>
              </w:rPr>
              <w:t xml:space="preserve">4.1 </w:t>
            </w:r>
            <w:r w:rsidRPr="00EA0548">
              <w:rPr>
                <w:rStyle w:val="af4"/>
                <w:rFonts w:cs="Times New Roman"/>
              </w:rPr>
              <w:t>国际标准情况</w:t>
            </w:r>
            <w:r w:rsidRPr="00EA0548">
              <w:rPr>
                <w:rFonts w:cs="Times New Roman"/>
              </w:rPr>
              <w:tab/>
            </w:r>
            <w:r w:rsidRPr="00EA0548">
              <w:rPr>
                <w:rFonts w:cs="Times New Roman"/>
              </w:rPr>
              <w:fldChar w:fldCharType="begin"/>
            </w:r>
            <w:r w:rsidRPr="00EA0548">
              <w:rPr>
                <w:rFonts w:cs="Times New Roman"/>
              </w:rPr>
              <w:instrText xml:space="preserve"> PAGEREF _Toc195030363 \h </w:instrText>
            </w:r>
            <w:r w:rsidRPr="00EA0548">
              <w:rPr>
                <w:rFonts w:cs="Times New Roman"/>
              </w:rPr>
            </w:r>
            <w:r w:rsidRPr="00EA0548">
              <w:rPr>
                <w:rFonts w:cs="Times New Roman"/>
              </w:rPr>
              <w:fldChar w:fldCharType="separate"/>
            </w:r>
            <w:r w:rsidRPr="00EA0548">
              <w:rPr>
                <w:rFonts w:cs="Times New Roman"/>
              </w:rPr>
              <w:t>6</w:t>
            </w:r>
            <w:r w:rsidRPr="00EA0548">
              <w:rPr>
                <w:rFonts w:cs="Times New Roman"/>
              </w:rPr>
              <w:fldChar w:fldCharType="end"/>
            </w:r>
          </w:hyperlink>
        </w:p>
        <w:p w14:paraId="2E6985AD"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64" w:history="1">
            <w:r w:rsidRPr="00EA0548">
              <w:rPr>
                <w:rStyle w:val="af4"/>
                <w:rFonts w:cs="Times New Roman"/>
              </w:rPr>
              <w:t xml:space="preserve">4.2 </w:t>
            </w:r>
            <w:r w:rsidRPr="00EA0548">
              <w:rPr>
                <w:rStyle w:val="af4"/>
                <w:rFonts w:cs="Times New Roman"/>
              </w:rPr>
              <w:t>国外标准情况</w:t>
            </w:r>
            <w:r w:rsidRPr="00EA0548">
              <w:rPr>
                <w:rFonts w:cs="Times New Roman"/>
              </w:rPr>
              <w:tab/>
            </w:r>
            <w:r w:rsidRPr="00EA0548">
              <w:rPr>
                <w:rFonts w:cs="Times New Roman"/>
              </w:rPr>
              <w:fldChar w:fldCharType="begin"/>
            </w:r>
            <w:r w:rsidRPr="00EA0548">
              <w:rPr>
                <w:rFonts w:cs="Times New Roman"/>
              </w:rPr>
              <w:instrText xml:space="preserve"> PAGEREF _Toc195030364 \h </w:instrText>
            </w:r>
            <w:r w:rsidRPr="00EA0548">
              <w:rPr>
                <w:rFonts w:cs="Times New Roman"/>
              </w:rPr>
            </w:r>
            <w:r w:rsidRPr="00EA0548">
              <w:rPr>
                <w:rFonts w:cs="Times New Roman"/>
              </w:rPr>
              <w:fldChar w:fldCharType="separate"/>
            </w:r>
            <w:r w:rsidRPr="00EA0548">
              <w:rPr>
                <w:rFonts w:cs="Times New Roman"/>
              </w:rPr>
              <w:t>7</w:t>
            </w:r>
            <w:r w:rsidRPr="00EA0548">
              <w:rPr>
                <w:rFonts w:cs="Times New Roman"/>
              </w:rPr>
              <w:fldChar w:fldCharType="end"/>
            </w:r>
          </w:hyperlink>
        </w:p>
        <w:p w14:paraId="213A0721" w14:textId="77777777" w:rsidR="00330F3D" w:rsidRPr="00EA0548" w:rsidRDefault="00330F3D">
          <w:pPr>
            <w:pStyle w:val="TOC2"/>
            <w:tabs>
              <w:tab w:val="right" w:leader="dot" w:pos="8296"/>
            </w:tabs>
            <w:ind w:leftChars="0" w:left="0" w:firstLineChars="0" w:firstLine="0"/>
            <w:rPr>
              <w:rFonts w:eastAsiaTheme="minorEastAsia" w:cs="Times New Roman"/>
              <w:sz w:val="22"/>
              <w:szCs w:val="24"/>
              <w14:ligatures w14:val="standardContextual"/>
            </w:rPr>
          </w:pPr>
          <w:hyperlink w:anchor="_Toc195030365" w:history="1">
            <w:r w:rsidRPr="00EA0548">
              <w:rPr>
                <w:rStyle w:val="af4"/>
                <w:rFonts w:cs="Times New Roman"/>
              </w:rPr>
              <w:t xml:space="preserve">4.3 </w:t>
            </w:r>
            <w:r w:rsidRPr="00EA0548">
              <w:rPr>
                <w:rStyle w:val="af4"/>
                <w:rFonts w:cs="Times New Roman"/>
              </w:rPr>
              <w:t>我国标准情况</w:t>
            </w:r>
            <w:r w:rsidRPr="00EA0548">
              <w:rPr>
                <w:rFonts w:cs="Times New Roman"/>
              </w:rPr>
              <w:tab/>
            </w:r>
            <w:r w:rsidRPr="00EA0548">
              <w:rPr>
                <w:rFonts w:cs="Times New Roman"/>
              </w:rPr>
              <w:fldChar w:fldCharType="begin"/>
            </w:r>
            <w:r w:rsidRPr="00EA0548">
              <w:rPr>
                <w:rFonts w:cs="Times New Roman"/>
              </w:rPr>
              <w:instrText xml:space="preserve"> PAGEREF _Toc195030365 \h </w:instrText>
            </w:r>
            <w:r w:rsidRPr="00EA0548">
              <w:rPr>
                <w:rFonts w:cs="Times New Roman"/>
              </w:rPr>
            </w:r>
            <w:r w:rsidRPr="00EA0548">
              <w:rPr>
                <w:rFonts w:cs="Times New Roman"/>
              </w:rPr>
              <w:fldChar w:fldCharType="separate"/>
            </w:r>
            <w:r w:rsidRPr="00EA0548">
              <w:rPr>
                <w:rFonts w:cs="Times New Roman"/>
              </w:rPr>
              <w:t>8</w:t>
            </w:r>
            <w:r w:rsidRPr="00EA0548">
              <w:rPr>
                <w:rFonts w:cs="Times New Roman"/>
              </w:rPr>
              <w:fldChar w:fldCharType="end"/>
            </w:r>
          </w:hyperlink>
        </w:p>
        <w:p w14:paraId="4A304931"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66" w:history="1">
            <w:r w:rsidRPr="00EA0548">
              <w:rPr>
                <w:rStyle w:val="af4"/>
                <w:rFonts w:cs="Times New Roman"/>
              </w:rPr>
              <w:t xml:space="preserve">5. </w:t>
            </w:r>
            <w:r w:rsidRPr="00EA0548">
              <w:rPr>
                <w:rStyle w:val="af4"/>
                <w:rFonts w:cs="Times New Roman"/>
              </w:rPr>
              <w:t>与有关的现行法律、法规和强制性国家标准的关系</w:t>
            </w:r>
            <w:r w:rsidRPr="00EA0548">
              <w:rPr>
                <w:rFonts w:cs="Times New Roman"/>
              </w:rPr>
              <w:tab/>
            </w:r>
            <w:r w:rsidRPr="00EA0548">
              <w:rPr>
                <w:rFonts w:cs="Times New Roman"/>
              </w:rPr>
              <w:fldChar w:fldCharType="begin"/>
            </w:r>
            <w:r w:rsidRPr="00EA0548">
              <w:rPr>
                <w:rFonts w:cs="Times New Roman"/>
              </w:rPr>
              <w:instrText xml:space="preserve"> PAGEREF _Toc195030366 \h </w:instrText>
            </w:r>
            <w:r w:rsidRPr="00EA0548">
              <w:rPr>
                <w:rFonts w:cs="Times New Roman"/>
              </w:rPr>
            </w:r>
            <w:r w:rsidRPr="00EA0548">
              <w:rPr>
                <w:rFonts w:cs="Times New Roman"/>
              </w:rPr>
              <w:fldChar w:fldCharType="separate"/>
            </w:r>
            <w:r w:rsidRPr="00EA0548">
              <w:rPr>
                <w:rFonts w:cs="Times New Roman"/>
              </w:rPr>
              <w:t>10</w:t>
            </w:r>
            <w:r w:rsidRPr="00EA0548">
              <w:rPr>
                <w:rFonts w:cs="Times New Roman"/>
              </w:rPr>
              <w:fldChar w:fldCharType="end"/>
            </w:r>
          </w:hyperlink>
        </w:p>
        <w:p w14:paraId="3974AC3A"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67" w:history="1">
            <w:r w:rsidRPr="00EA0548">
              <w:rPr>
                <w:rStyle w:val="af4"/>
                <w:rFonts w:cs="Times New Roman"/>
              </w:rPr>
              <w:t xml:space="preserve">6. </w:t>
            </w:r>
            <w:r w:rsidRPr="00EA0548">
              <w:rPr>
                <w:rStyle w:val="af4"/>
                <w:rFonts w:cs="Times New Roman"/>
              </w:rPr>
              <w:t>重大分歧意见的处理经过和依据</w:t>
            </w:r>
            <w:r w:rsidRPr="00EA0548">
              <w:rPr>
                <w:rFonts w:cs="Times New Roman"/>
              </w:rPr>
              <w:tab/>
            </w:r>
            <w:r w:rsidRPr="00EA0548">
              <w:rPr>
                <w:rFonts w:cs="Times New Roman"/>
              </w:rPr>
              <w:fldChar w:fldCharType="begin"/>
            </w:r>
            <w:r w:rsidRPr="00EA0548">
              <w:rPr>
                <w:rFonts w:cs="Times New Roman"/>
              </w:rPr>
              <w:instrText xml:space="preserve"> PAGEREF _Toc195030367 \h </w:instrText>
            </w:r>
            <w:r w:rsidRPr="00EA0548">
              <w:rPr>
                <w:rFonts w:cs="Times New Roman"/>
              </w:rPr>
            </w:r>
            <w:r w:rsidRPr="00EA0548">
              <w:rPr>
                <w:rFonts w:cs="Times New Roman"/>
              </w:rPr>
              <w:fldChar w:fldCharType="separate"/>
            </w:r>
            <w:r w:rsidRPr="00EA0548">
              <w:rPr>
                <w:rFonts w:cs="Times New Roman"/>
              </w:rPr>
              <w:t>10</w:t>
            </w:r>
            <w:r w:rsidRPr="00EA0548">
              <w:rPr>
                <w:rFonts w:cs="Times New Roman"/>
              </w:rPr>
              <w:fldChar w:fldCharType="end"/>
            </w:r>
          </w:hyperlink>
        </w:p>
        <w:p w14:paraId="4BFFF53A"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68" w:history="1">
            <w:r w:rsidRPr="00EA0548">
              <w:rPr>
                <w:rStyle w:val="af4"/>
                <w:rFonts w:cs="Times New Roman"/>
              </w:rPr>
              <w:t xml:space="preserve">7. </w:t>
            </w:r>
            <w:r w:rsidRPr="00EA0548">
              <w:rPr>
                <w:rStyle w:val="af4"/>
                <w:rFonts w:cs="Times New Roman"/>
              </w:rPr>
              <w:t>标准性质的建议说明</w:t>
            </w:r>
            <w:r w:rsidRPr="00EA0548">
              <w:rPr>
                <w:rFonts w:cs="Times New Roman"/>
              </w:rPr>
              <w:tab/>
            </w:r>
            <w:r w:rsidRPr="00EA0548">
              <w:rPr>
                <w:rFonts w:cs="Times New Roman"/>
              </w:rPr>
              <w:fldChar w:fldCharType="begin"/>
            </w:r>
            <w:r w:rsidRPr="00EA0548">
              <w:rPr>
                <w:rFonts w:cs="Times New Roman"/>
              </w:rPr>
              <w:instrText xml:space="preserve"> PAGEREF _Toc195030368 \h </w:instrText>
            </w:r>
            <w:r w:rsidRPr="00EA0548">
              <w:rPr>
                <w:rFonts w:cs="Times New Roman"/>
              </w:rPr>
            </w:r>
            <w:r w:rsidRPr="00EA0548">
              <w:rPr>
                <w:rFonts w:cs="Times New Roman"/>
              </w:rPr>
              <w:fldChar w:fldCharType="separate"/>
            </w:r>
            <w:r w:rsidRPr="00EA0548">
              <w:rPr>
                <w:rFonts w:cs="Times New Roman"/>
              </w:rPr>
              <w:t>10</w:t>
            </w:r>
            <w:r w:rsidRPr="00EA0548">
              <w:rPr>
                <w:rFonts w:cs="Times New Roman"/>
              </w:rPr>
              <w:fldChar w:fldCharType="end"/>
            </w:r>
          </w:hyperlink>
        </w:p>
        <w:p w14:paraId="356F88D7"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69" w:history="1">
            <w:r w:rsidRPr="00EA0548">
              <w:rPr>
                <w:rStyle w:val="af4"/>
                <w:rFonts w:cs="Times New Roman"/>
              </w:rPr>
              <w:t xml:space="preserve">8. </w:t>
            </w:r>
            <w:r w:rsidRPr="00EA0548">
              <w:rPr>
                <w:rStyle w:val="af4"/>
                <w:rFonts w:cs="Times New Roman"/>
              </w:rPr>
              <w:t>贯彻国家标准的要求和措施建议</w:t>
            </w:r>
            <w:r w:rsidRPr="00EA0548">
              <w:rPr>
                <w:rFonts w:cs="Times New Roman"/>
              </w:rPr>
              <w:tab/>
            </w:r>
            <w:r w:rsidRPr="00EA0548">
              <w:rPr>
                <w:rFonts w:cs="Times New Roman"/>
              </w:rPr>
              <w:fldChar w:fldCharType="begin"/>
            </w:r>
            <w:r w:rsidRPr="00EA0548">
              <w:rPr>
                <w:rFonts w:cs="Times New Roman"/>
              </w:rPr>
              <w:instrText xml:space="preserve"> PAGEREF _Toc195030369 \h </w:instrText>
            </w:r>
            <w:r w:rsidRPr="00EA0548">
              <w:rPr>
                <w:rFonts w:cs="Times New Roman"/>
              </w:rPr>
            </w:r>
            <w:r w:rsidRPr="00EA0548">
              <w:rPr>
                <w:rFonts w:cs="Times New Roman"/>
              </w:rPr>
              <w:fldChar w:fldCharType="separate"/>
            </w:r>
            <w:r w:rsidRPr="00EA0548">
              <w:rPr>
                <w:rFonts w:cs="Times New Roman"/>
              </w:rPr>
              <w:t>10</w:t>
            </w:r>
            <w:r w:rsidRPr="00EA0548">
              <w:rPr>
                <w:rFonts w:cs="Times New Roman"/>
              </w:rPr>
              <w:fldChar w:fldCharType="end"/>
            </w:r>
          </w:hyperlink>
        </w:p>
        <w:p w14:paraId="12E1609F"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70" w:history="1">
            <w:r w:rsidRPr="00EA0548">
              <w:rPr>
                <w:rStyle w:val="af4"/>
                <w:rFonts w:cs="Times New Roman"/>
              </w:rPr>
              <w:t xml:space="preserve">9. </w:t>
            </w:r>
            <w:r w:rsidRPr="00EA0548">
              <w:rPr>
                <w:rStyle w:val="af4"/>
                <w:rFonts w:cs="Times New Roman"/>
              </w:rPr>
              <w:t>废止现行有关标准的建议</w:t>
            </w:r>
            <w:r w:rsidRPr="00EA0548">
              <w:rPr>
                <w:rFonts w:cs="Times New Roman"/>
              </w:rPr>
              <w:tab/>
            </w:r>
            <w:r w:rsidRPr="00EA0548">
              <w:rPr>
                <w:rFonts w:cs="Times New Roman"/>
              </w:rPr>
              <w:fldChar w:fldCharType="begin"/>
            </w:r>
            <w:r w:rsidRPr="00EA0548">
              <w:rPr>
                <w:rFonts w:cs="Times New Roman"/>
              </w:rPr>
              <w:instrText xml:space="preserve"> PAGEREF _Toc195030370 \h </w:instrText>
            </w:r>
            <w:r w:rsidRPr="00EA0548">
              <w:rPr>
                <w:rFonts w:cs="Times New Roman"/>
              </w:rPr>
            </w:r>
            <w:r w:rsidRPr="00EA0548">
              <w:rPr>
                <w:rFonts w:cs="Times New Roman"/>
              </w:rPr>
              <w:fldChar w:fldCharType="separate"/>
            </w:r>
            <w:r w:rsidRPr="00EA0548">
              <w:rPr>
                <w:rFonts w:cs="Times New Roman"/>
              </w:rPr>
              <w:t>10</w:t>
            </w:r>
            <w:r w:rsidRPr="00EA0548">
              <w:rPr>
                <w:rFonts w:cs="Times New Roman"/>
              </w:rPr>
              <w:fldChar w:fldCharType="end"/>
            </w:r>
          </w:hyperlink>
        </w:p>
        <w:p w14:paraId="6B44764C" w14:textId="77777777" w:rsidR="00330F3D" w:rsidRPr="00EA0548" w:rsidRDefault="00330F3D">
          <w:pPr>
            <w:pStyle w:val="TOC1"/>
            <w:tabs>
              <w:tab w:val="right" w:leader="dot" w:pos="8296"/>
            </w:tabs>
            <w:ind w:firstLineChars="0" w:firstLine="0"/>
            <w:rPr>
              <w:rFonts w:eastAsiaTheme="minorEastAsia" w:cs="Times New Roman"/>
              <w:sz w:val="22"/>
              <w:szCs w:val="24"/>
              <w14:ligatures w14:val="standardContextual"/>
            </w:rPr>
          </w:pPr>
          <w:hyperlink w:anchor="_Toc195030371" w:history="1">
            <w:r w:rsidRPr="00EA0548">
              <w:rPr>
                <w:rStyle w:val="af4"/>
                <w:rFonts w:cs="Times New Roman"/>
              </w:rPr>
              <w:t xml:space="preserve">10. </w:t>
            </w:r>
            <w:r w:rsidRPr="00EA0548">
              <w:rPr>
                <w:rStyle w:val="af4"/>
                <w:rFonts w:cs="Times New Roman"/>
              </w:rPr>
              <w:t>其他应予说明的事项</w:t>
            </w:r>
            <w:r w:rsidRPr="00EA0548">
              <w:rPr>
                <w:rFonts w:cs="Times New Roman"/>
              </w:rPr>
              <w:tab/>
            </w:r>
            <w:r w:rsidRPr="00EA0548">
              <w:rPr>
                <w:rFonts w:cs="Times New Roman"/>
              </w:rPr>
              <w:fldChar w:fldCharType="begin"/>
            </w:r>
            <w:r w:rsidRPr="00EA0548">
              <w:rPr>
                <w:rFonts w:cs="Times New Roman"/>
              </w:rPr>
              <w:instrText xml:space="preserve"> PAGEREF _Toc195030371 \h </w:instrText>
            </w:r>
            <w:r w:rsidRPr="00EA0548">
              <w:rPr>
                <w:rFonts w:cs="Times New Roman"/>
              </w:rPr>
            </w:r>
            <w:r w:rsidRPr="00EA0548">
              <w:rPr>
                <w:rFonts w:cs="Times New Roman"/>
              </w:rPr>
              <w:fldChar w:fldCharType="separate"/>
            </w:r>
            <w:r w:rsidRPr="00EA0548">
              <w:rPr>
                <w:rFonts w:cs="Times New Roman"/>
              </w:rPr>
              <w:t>10</w:t>
            </w:r>
            <w:r w:rsidRPr="00EA0548">
              <w:rPr>
                <w:rFonts w:cs="Times New Roman"/>
              </w:rPr>
              <w:fldChar w:fldCharType="end"/>
            </w:r>
          </w:hyperlink>
        </w:p>
        <w:p w14:paraId="3C7B26D7" w14:textId="77777777" w:rsidR="00330F3D" w:rsidRPr="00EA0548" w:rsidRDefault="00000000">
          <w:pPr>
            <w:rPr>
              <w:rFonts w:cs="Times New Roman"/>
            </w:rPr>
            <w:sectPr w:rsidR="00330F3D" w:rsidRPr="00EA054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r w:rsidRPr="00EA0548">
            <w:rPr>
              <w:rFonts w:cs="Times New Roman"/>
            </w:rPr>
            <w:fldChar w:fldCharType="end"/>
          </w:r>
        </w:p>
      </w:sdtContent>
    </w:sdt>
    <w:p w14:paraId="5B8DC8DD" w14:textId="77777777" w:rsidR="00330F3D" w:rsidRPr="00EA0548" w:rsidRDefault="00000000">
      <w:pPr>
        <w:pStyle w:val="1"/>
        <w:rPr>
          <w:rFonts w:cs="Times New Roman"/>
        </w:rPr>
      </w:pPr>
      <w:bookmarkStart w:id="0" w:name="_Toc509908441"/>
      <w:bookmarkStart w:id="1" w:name="_Toc195030351"/>
      <w:r w:rsidRPr="00EA0548">
        <w:rPr>
          <w:rFonts w:cs="Times New Roman"/>
        </w:rPr>
        <w:lastRenderedPageBreak/>
        <w:t>1.</w:t>
      </w:r>
      <w:bookmarkEnd w:id="0"/>
      <w:r w:rsidRPr="00EA0548">
        <w:rPr>
          <w:rFonts w:cs="Times New Roman"/>
        </w:rPr>
        <w:t xml:space="preserve"> </w:t>
      </w:r>
      <w:r w:rsidRPr="00EA0548">
        <w:rPr>
          <w:rFonts w:cs="Times New Roman"/>
        </w:rPr>
        <w:t>工作简况</w:t>
      </w:r>
      <w:bookmarkEnd w:id="1"/>
    </w:p>
    <w:p w14:paraId="695FC06B" w14:textId="77777777" w:rsidR="00330F3D" w:rsidRPr="00EA0548" w:rsidRDefault="00000000">
      <w:pPr>
        <w:pStyle w:val="2"/>
        <w:rPr>
          <w:rFonts w:cs="Times New Roman"/>
        </w:rPr>
      </w:pPr>
      <w:bookmarkStart w:id="2" w:name="_Toc509908442"/>
      <w:bookmarkStart w:id="3" w:name="_Toc195030352"/>
      <w:r w:rsidRPr="00EA0548">
        <w:rPr>
          <w:rFonts w:cs="Times New Roman"/>
        </w:rPr>
        <w:t xml:space="preserve">1.1 </w:t>
      </w:r>
      <w:r w:rsidRPr="00EA0548">
        <w:rPr>
          <w:rFonts w:cs="Times New Roman"/>
        </w:rPr>
        <w:t>任务来源</w:t>
      </w:r>
      <w:bookmarkEnd w:id="2"/>
      <w:bookmarkEnd w:id="3"/>
    </w:p>
    <w:p w14:paraId="1965A58F" w14:textId="4C2D9A00" w:rsidR="00330F3D" w:rsidRPr="00EA0548" w:rsidRDefault="00000000">
      <w:pPr>
        <w:rPr>
          <w:rFonts w:cs="Times New Roman"/>
        </w:rPr>
      </w:pPr>
      <w:bookmarkStart w:id="4" w:name="_Toc509908443"/>
      <w:r w:rsidRPr="00EA0548">
        <w:rPr>
          <w:rFonts w:cs="Times New Roman"/>
        </w:rPr>
        <w:t>本项目是中国地球物理学会正式下达的标准化年度计划项目，项目计划编号</w:t>
      </w:r>
      <w:bookmarkStart w:id="5" w:name="OLE_LINK4"/>
      <w:r w:rsidRPr="00EA0548">
        <w:rPr>
          <w:rFonts w:cs="Times New Roman"/>
        </w:rPr>
        <w:t>球会字</w:t>
      </w:r>
      <w:r w:rsidR="00804DA3" w:rsidRPr="00EA0548">
        <w:rPr>
          <w:rFonts w:cs="Times New Roman" w:hint="eastAsia"/>
        </w:rPr>
        <w:t>（</w:t>
      </w:r>
      <w:r w:rsidRPr="00EA0548">
        <w:rPr>
          <w:rFonts w:cs="Times New Roman"/>
        </w:rPr>
        <w:t>2025</w:t>
      </w:r>
      <w:r w:rsidR="00804DA3" w:rsidRPr="00EA0548">
        <w:rPr>
          <w:rFonts w:cs="Times New Roman" w:hint="eastAsia"/>
        </w:rPr>
        <w:t>）</w:t>
      </w:r>
      <w:r w:rsidRPr="00EA0548">
        <w:rPr>
          <w:rFonts w:cs="Times New Roman"/>
        </w:rPr>
        <w:t>第</w:t>
      </w:r>
      <w:r w:rsidRPr="00EA0548">
        <w:rPr>
          <w:rFonts w:cs="Times New Roman"/>
        </w:rPr>
        <w:t>14</w:t>
      </w:r>
      <w:r w:rsidRPr="00EA0548">
        <w:rPr>
          <w:rFonts w:cs="Times New Roman"/>
        </w:rPr>
        <w:t>号</w:t>
      </w:r>
      <w:bookmarkEnd w:id="5"/>
      <w:r w:rsidRPr="00EA0548">
        <w:rPr>
          <w:rFonts w:cs="Times New Roman"/>
        </w:rPr>
        <w:t>，由中国科学院地质与地球物理研究所负责制定团体标准《</w:t>
      </w:r>
      <w:r w:rsidRPr="00EA0548">
        <w:rPr>
          <w:rFonts w:cs="Times New Roman" w:hint="eastAsia"/>
        </w:rPr>
        <w:t>油气勘探装备智能导钻仪器振动试验方法</w:t>
      </w:r>
      <w:r w:rsidR="00552DBB" w:rsidRPr="00EA0548">
        <w:rPr>
          <w:rFonts w:cs="Times New Roman" w:hint="eastAsia"/>
        </w:rPr>
        <w:t>规范</w:t>
      </w:r>
      <w:r w:rsidRPr="00EA0548">
        <w:rPr>
          <w:rFonts w:cs="Times New Roman"/>
        </w:rPr>
        <w:t>》（以下简称</w:t>
      </w:r>
      <w:r w:rsidRPr="00EA0548">
        <w:rPr>
          <w:rFonts w:cs="Times New Roman" w:hint="eastAsia"/>
        </w:rPr>
        <w:t>“</w:t>
      </w:r>
      <w:r w:rsidR="003D52F7" w:rsidRPr="00EA0548">
        <w:rPr>
          <w:rFonts w:cs="Times New Roman" w:hint="eastAsia"/>
        </w:rPr>
        <w:t>文件</w:t>
      </w:r>
      <w:r w:rsidRPr="00EA0548">
        <w:rPr>
          <w:rFonts w:cs="Times New Roman" w:hint="eastAsia"/>
        </w:rPr>
        <w:t>”</w:t>
      </w:r>
      <w:r w:rsidRPr="00EA0548">
        <w:rPr>
          <w:rFonts w:cs="Times New Roman"/>
        </w:rPr>
        <w:t>）</w:t>
      </w:r>
      <w:r w:rsidRPr="00EA0548">
        <w:rPr>
          <w:rFonts w:cs="Times New Roman"/>
        </w:rPr>
        <w:t>,</w:t>
      </w:r>
      <w:r w:rsidRPr="00EA0548">
        <w:rPr>
          <w:rFonts w:cs="Times New Roman"/>
        </w:rPr>
        <w:t>计划完成时间为</w:t>
      </w:r>
      <w:r w:rsidRPr="00EA0548">
        <w:rPr>
          <w:rFonts w:cs="Times New Roman"/>
        </w:rPr>
        <w:t>2025</w:t>
      </w:r>
      <w:r w:rsidRPr="00EA0548">
        <w:rPr>
          <w:rFonts w:cs="Times New Roman"/>
        </w:rPr>
        <w:t>年</w:t>
      </w:r>
      <w:r w:rsidRPr="00EA0548">
        <w:rPr>
          <w:rFonts w:cs="Times New Roman"/>
        </w:rPr>
        <w:t>11</w:t>
      </w:r>
      <w:r w:rsidRPr="00EA0548">
        <w:rPr>
          <w:rFonts w:cs="Times New Roman"/>
        </w:rPr>
        <w:t>月，由中国地球物理学会归口管理。</w:t>
      </w:r>
    </w:p>
    <w:p w14:paraId="6B8D2CDF" w14:textId="77777777" w:rsidR="00330F3D" w:rsidRPr="00EA0548" w:rsidRDefault="00000000">
      <w:pPr>
        <w:pStyle w:val="2"/>
        <w:rPr>
          <w:rFonts w:cs="Times New Roman"/>
        </w:rPr>
      </w:pPr>
      <w:bookmarkStart w:id="6" w:name="_Toc195030353"/>
      <w:r w:rsidRPr="00EA0548">
        <w:rPr>
          <w:rFonts w:cs="Times New Roman"/>
        </w:rPr>
        <w:t>1.2</w:t>
      </w:r>
      <w:bookmarkEnd w:id="4"/>
      <w:r w:rsidRPr="00EA0548">
        <w:rPr>
          <w:rFonts w:cs="Times New Roman"/>
        </w:rPr>
        <w:t xml:space="preserve"> </w:t>
      </w:r>
      <w:r w:rsidRPr="00EA0548">
        <w:rPr>
          <w:rFonts w:cs="Times New Roman"/>
        </w:rPr>
        <w:t>主要工作过程</w:t>
      </w:r>
      <w:bookmarkEnd w:id="6"/>
    </w:p>
    <w:p w14:paraId="21FF639F" w14:textId="77777777" w:rsidR="00330F3D" w:rsidRPr="00EA0548" w:rsidRDefault="00000000">
      <w:pPr>
        <w:pStyle w:val="3"/>
      </w:pPr>
      <w:bookmarkStart w:id="7" w:name="OLE_LINK2"/>
      <w:r w:rsidRPr="00EA0548">
        <w:t xml:space="preserve">1.2.1 </w:t>
      </w:r>
      <w:r w:rsidRPr="00EA0548">
        <w:t>计划下达前主要工作过程</w:t>
      </w:r>
    </w:p>
    <w:p w14:paraId="5D9D80EF" w14:textId="77777777" w:rsidR="00330F3D" w:rsidRPr="00EA0548" w:rsidRDefault="00000000">
      <w:pPr>
        <w:rPr>
          <w:rFonts w:cs="Times New Roman"/>
        </w:rPr>
      </w:pPr>
      <w:r w:rsidRPr="00EA0548">
        <w:rPr>
          <w:rFonts w:cs="Times New Roman"/>
        </w:rPr>
        <w:t>计划下达前，主要分五个阶段的工作过程。</w:t>
      </w:r>
    </w:p>
    <w:bookmarkEnd w:id="7"/>
    <w:p w14:paraId="7E68372C" w14:textId="43DE6FF0" w:rsidR="00330F3D" w:rsidRPr="00EA0548" w:rsidRDefault="00000000">
      <w:pPr>
        <w:rPr>
          <w:rFonts w:cs="Times New Roman"/>
        </w:rPr>
      </w:pPr>
      <w:r w:rsidRPr="00EA0548">
        <w:rPr>
          <w:rFonts w:cs="Times New Roman"/>
        </w:rPr>
        <w:t>（</w:t>
      </w:r>
      <w:r w:rsidRPr="00EA0548">
        <w:rPr>
          <w:rFonts w:cs="Times New Roman"/>
        </w:rPr>
        <w:t>1</w:t>
      </w:r>
      <w:r w:rsidRPr="00EA0548">
        <w:rPr>
          <w:rFonts w:cs="Times New Roman"/>
        </w:rPr>
        <w:t>）</w:t>
      </w:r>
      <w:r w:rsidRPr="00EA0548">
        <w:rPr>
          <w:rFonts w:cs="Times New Roman"/>
        </w:rPr>
        <w:t>2022</w:t>
      </w:r>
      <w:r w:rsidRPr="00EA0548">
        <w:rPr>
          <w:rFonts w:cs="Times New Roman"/>
        </w:rPr>
        <w:t>年</w:t>
      </w:r>
      <w:r w:rsidRPr="00EA0548">
        <w:rPr>
          <w:rFonts w:cs="Times New Roman"/>
        </w:rPr>
        <w:t>7</w:t>
      </w:r>
      <w:r w:rsidRPr="00EA0548">
        <w:rPr>
          <w:rFonts w:cs="Times New Roman"/>
        </w:rPr>
        <w:t>月</w:t>
      </w:r>
      <w:r w:rsidRPr="00EA0548">
        <w:rPr>
          <w:rFonts w:cs="Times New Roman"/>
        </w:rPr>
        <w:t>1</w:t>
      </w:r>
      <w:r w:rsidRPr="00EA0548">
        <w:rPr>
          <w:rFonts w:cs="Times New Roman"/>
        </w:rPr>
        <w:t>日</w:t>
      </w:r>
      <w:r w:rsidR="00886FD4" w:rsidRPr="00EA0548">
        <w:rPr>
          <w:rFonts w:cs="Times New Roman" w:hint="eastAsia"/>
        </w:rPr>
        <w:t>，</w:t>
      </w:r>
      <w:r w:rsidRPr="00EA0548">
        <w:rPr>
          <w:rFonts w:cs="Times New Roman"/>
        </w:rPr>
        <w:t>该</w:t>
      </w:r>
      <w:r w:rsidR="00790790" w:rsidRPr="00EA0548">
        <w:rPr>
          <w:rFonts w:cs="Times New Roman" w:hint="eastAsia"/>
        </w:rPr>
        <w:t>文件</w:t>
      </w:r>
      <w:r w:rsidRPr="00EA0548">
        <w:rPr>
          <w:rFonts w:cs="Times New Roman"/>
        </w:rPr>
        <w:t>由中国科学院地质与地球物理研究所发布企业标准，并于</w:t>
      </w:r>
      <w:r w:rsidRPr="00EA0548">
        <w:rPr>
          <w:rFonts w:cs="Times New Roman"/>
        </w:rPr>
        <w:t>2022</w:t>
      </w:r>
      <w:r w:rsidRPr="00EA0548">
        <w:rPr>
          <w:rFonts w:cs="Times New Roman"/>
        </w:rPr>
        <w:t>年</w:t>
      </w:r>
      <w:r w:rsidRPr="00EA0548">
        <w:rPr>
          <w:rFonts w:cs="Times New Roman"/>
        </w:rPr>
        <w:t>12</w:t>
      </w:r>
      <w:r w:rsidRPr="00EA0548">
        <w:rPr>
          <w:rFonts w:cs="Times New Roman"/>
        </w:rPr>
        <w:t>月</w:t>
      </w:r>
      <w:r w:rsidRPr="00EA0548">
        <w:rPr>
          <w:rFonts w:cs="Times New Roman"/>
        </w:rPr>
        <w:t>1</w:t>
      </w:r>
      <w:r w:rsidRPr="00EA0548">
        <w:rPr>
          <w:rFonts w:cs="Times New Roman"/>
        </w:rPr>
        <w:t>日实施。</w:t>
      </w:r>
    </w:p>
    <w:p w14:paraId="7F1997D4" w14:textId="0C2040F6" w:rsidR="00330F3D" w:rsidRPr="00EA0548" w:rsidRDefault="00000000">
      <w:pPr>
        <w:rPr>
          <w:rFonts w:cs="Times New Roman"/>
        </w:rPr>
      </w:pPr>
      <w:r w:rsidRPr="00EA0548">
        <w:rPr>
          <w:rFonts w:cs="Times New Roman"/>
        </w:rPr>
        <w:t>（</w:t>
      </w:r>
      <w:r w:rsidRPr="00EA0548">
        <w:rPr>
          <w:rFonts w:cs="Times New Roman"/>
        </w:rPr>
        <w:t>2</w:t>
      </w:r>
      <w:r w:rsidRPr="00EA0548">
        <w:rPr>
          <w:rFonts w:cs="Times New Roman"/>
        </w:rPr>
        <w:t>）</w:t>
      </w:r>
      <w:r w:rsidRPr="00EA0548">
        <w:rPr>
          <w:rFonts w:cs="Times New Roman"/>
        </w:rPr>
        <w:t>2022</w:t>
      </w:r>
      <w:r w:rsidRPr="00EA0548">
        <w:rPr>
          <w:rFonts w:cs="Times New Roman"/>
        </w:rPr>
        <w:t>年</w:t>
      </w:r>
      <w:r w:rsidRPr="00EA0548">
        <w:rPr>
          <w:rFonts w:cs="Times New Roman"/>
        </w:rPr>
        <w:t>12</w:t>
      </w:r>
      <w:r w:rsidRPr="00EA0548">
        <w:rPr>
          <w:rFonts w:cs="Times New Roman"/>
        </w:rPr>
        <w:t>月至</w:t>
      </w:r>
      <w:r w:rsidRPr="00EA0548">
        <w:rPr>
          <w:rFonts w:cs="Times New Roman"/>
        </w:rPr>
        <w:t>2024</w:t>
      </w:r>
      <w:r w:rsidRPr="00EA0548">
        <w:rPr>
          <w:rFonts w:cs="Times New Roman"/>
        </w:rPr>
        <w:t>年</w:t>
      </w:r>
      <w:r w:rsidRPr="00EA0548">
        <w:rPr>
          <w:rFonts w:cs="Times New Roman"/>
        </w:rPr>
        <w:t>12</w:t>
      </w:r>
      <w:r w:rsidRPr="00EA0548">
        <w:rPr>
          <w:rFonts w:cs="Times New Roman"/>
        </w:rPr>
        <w:t>月，该</w:t>
      </w:r>
      <w:r w:rsidR="00790790" w:rsidRPr="00EA0548">
        <w:rPr>
          <w:rFonts w:cs="Times New Roman" w:hint="eastAsia"/>
        </w:rPr>
        <w:t>文件</w:t>
      </w:r>
      <w:r w:rsidRPr="00EA0548">
        <w:rPr>
          <w:rFonts w:cs="Times New Roman"/>
        </w:rPr>
        <w:t>用在地球物理、石油勘探、石油测井等行业应用。</w:t>
      </w:r>
    </w:p>
    <w:p w14:paraId="13E2A22B" w14:textId="6D79B09E" w:rsidR="00330F3D" w:rsidRPr="00EA0548" w:rsidRDefault="00000000">
      <w:pPr>
        <w:rPr>
          <w:rFonts w:cs="Times New Roman"/>
        </w:rPr>
      </w:pPr>
      <w:r w:rsidRPr="00EA0548">
        <w:rPr>
          <w:rFonts w:cs="Times New Roman"/>
        </w:rPr>
        <w:t>（</w:t>
      </w:r>
      <w:r w:rsidRPr="00EA0548">
        <w:rPr>
          <w:rFonts w:cs="Times New Roman"/>
        </w:rPr>
        <w:t>3</w:t>
      </w:r>
      <w:r w:rsidRPr="00EA0548">
        <w:rPr>
          <w:rFonts w:cs="Times New Roman"/>
        </w:rPr>
        <w:t>）</w:t>
      </w:r>
      <w:r w:rsidRPr="00EA0548">
        <w:rPr>
          <w:rFonts w:cs="Times New Roman"/>
        </w:rPr>
        <w:t>2025</w:t>
      </w:r>
      <w:r w:rsidRPr="00EA0548">
        <w:rPr>
          <w:rFonts w:cs="Times New Roman"/>
        </w:rPr>
        <w:t>年</w:t>
      </w:r>
      <w:r w:rsidRPr="00EA0548">
        <w:rPr>
          <w:rFonts w:cs="Times New Roman"/>
        </w:rPr>
        <w:t>1</w:t>
      </w:r>
      <w:r w:rsidRPr="00EA0548">
        <w:rPr>
          <w:rFonts w:cs="Times New Roman"/>
        </w:rPr>
        <w:t>月，由中国科学院地质与地球物理研究所牵头，会同中国科学院微电子所、中国石油集团测井有限公司、中石化石油工程技术研究院有限公司、中海油田服务股份有限公司、渤海钻探定向井技术服务分公司、苏州苏试试验集团股份有限公司等参编单位，通过广泛的国内外调研，以中国科学院地质与地球物理研究所《</w:t>
      </w:r>
      <w:r w:rsidRPr="00EA0548">
        <w:rPr>
          <w:rFonts w:cs="Times New Roman" w:hint="eastAsia"/>
        </w:rPr>
        <w:t>油气勘探装备智能导钻仪器振动试验方法</w:t>
      </w:r>
      <w:r w:rsidRPr="00EA0548">
        <w:rPr>
          <w:rFonts w:cs="Times New Roman"/>
        </w:rPr>
        <w:t>》企业标准为基础，完成了</w:t>
      </w:r>
      <w:r w:rsidR="00790790" w:rsidRPr="00EA0548">
        <w:rPr>
          <w:rFonts w:cs="Times New Roman" w:hint="eastAsia"/>
        </w:rPr>
        <w:t>文件</w:t>
      </w:r>
      <w:r w:rsidRPr="00EA0548">
        <w:rPr>
          <w:rFonts w:cs="Times New Roman"/>
        </w:rPr>
        <w:t>草稿的起草工作。</w:t>
      </w:r>
    </w:p>
    <w:p w14:paraId="787412BA" w14:textId="3CCC9382" w:rsidR="00330F3D" w:rsidRPr="00EA0548" w:rsidRDefault="00000000">
      <w:pPr>
        <w:rPr>
          <w:rFonts w:cs="Times New Roman"/>
        </w:rPr>
      </w:pPr>
      <w:r w:rsidRPr="00EA0548">
        <w:rPr>
          <w:rFonts w:cs="Times New Roman"/>
        </w:rPr>
        <w:t>（</w:t>
      </w:r>
      <w:r w:rsidRPr="00EA0548">
        <w:rPr>
          <w:rFonts w:cs="Times New Roman"/>
        </w:rPr>
        <w:t>4</w:t>
      </w:r>
      <w:r w:rsidRPr="00EA0548">
        <w:rPr>
          <w:rFonts w:cs="Times New Roman"/>
        </w:rPr>
        <w:t>）</w:t>
      </w:r>
      <w:r w:rsidRPr="00EA0548">
        <w:rPr>
          <w:rFonts w:cs="Times New Roman"/>
        </w:rPr>
        <w:t>2025</w:t>
      </w:r>
      <w:r w:rsidRPr="00EA0548">
        <w:rPr>
          <w:rFonts w:cs="Times New Roman"/>
        </w:rPr>
        <w:t>年</w:t>
      </w:r>
      <w:r w:rsidRPr="00EA0548">
        <w:rPr>
          <w:rFonts w:cs="Times New Roman"/>
        </w:rPr>
        <w:t>2</w:t>
      </w:r>
      <w:r w:rsidRPr="00EA0548">
        <w:rPr>
          <w:rFonts w:cs="Times New Roman"/>
        </w:rPr>
        <w:t>月</w:t>
      </w:r>
      <w:r w:rsidRPr="00EA0548">
        <w:rPr>
          <w:rFonts w:cs="Times New Roman"/>
        </w:rPr>
        <w:t>5</w:t>
      </w:r>
      <w:r w:rsidRPr="00EA0548">
        <w:rPr>
          <w:rFonts w:cs="Times New Roman"/>
        </w:rPr>
        <w:t>日，经主编单位、参编单位及相关领域专家共同讨论修订后，形成了《</w:t>
      </w:r>
      <w:r w:rsidR="00552DBB" w:rsidRPr="00EA0548">
        <w:rPr>
          <w:rFonts w:cs="Times New Roman" w:hint="eastAsia"/>
        </w:rPr>
        <w:t>智能石油勘探装备井下仪器振动试验方法</w:t>
      </w:r>
      <w:r w:rsidRPr="00EA0548">
        <w:rPr>
          <w:rFonts w:cs="Times New Roman"/>
        </w:rPr>
        <w:t>》团体标准初稿（第一版）。</w:t>
      </w:r>
      <w:r w:rsidRPr="00EA0548">
        <w:rPr>
          <w:rFonts w:cs="Times New Roman"/>
        </w:rPr>
        <w:t>2025</w:t>
      </w:r>
      <w:r w:rsidRPr="00EA0548">
        <w:rPr>
          <w:rFonts w:cs="Times New Roman"/>
        </w:rPr>
        <w:t>年</w:t>
      </w:r>
      <w:r w:rsidRPr="00EA0548">
        <w:rPr>
          <w:rFonts w:cs="Times New Roman"/>
        </w:rPr>
        <w:t>2</w:t>
      </w:r>
      <w:r w:rsidRPr="00EA0548">
        <w:rPr>
          <w:rFonts w:cs="Times New Roman"/>
        </w:rPr>
        <w:t>月</w:t>
      </w:r>
      <w:r w:rsidRPr="00EA0548">
        <w:rPr>
          <w:rFonts w:cs="Times New Roman" w:hint="eastAsia"/>
        </w:rPr>
        <w:t>6</w:t>
      </w:r>
      <w:r w:rsidRPr="00EA0548">
        <w:rPr>
          <w:rFonts w:cs="Times New Roman"/>
        </w:rPr>
        <w:t>日至</w:t>
      </w:r>
      <w:r w:rsidRPr="00EA0548">
        <w:rPr>
          <w:rFonts w:cs="Times New Roman"/>
        </w:rPr>
        <w:t>3</w:t>
      </w:r>
      <w:r w:rsidRPr="00EA0548">
        <w:rPr>
          <w:rFonts w:cs="Times New Roman"/>
        </w:rPr>
        <w:t>月</w:t>
      </w:r>
      <w:r w:rsidRPr="00EA0548">
        <w:rPr>
          <w:rFonts w:cs="Times New Roman"/>
        </w:rPr>
        <w:t>16</w:t>
      </w:r>
      <w:r w:rsidRPr="00EA0548">
        <w:rPr>
          <w:rFonts w:cs="Times New Roman"/>
        </w:rPr>
        <w:t>日，</w:t>
      </w:r>
      <w:r w:rsidR="00790790" w:rsidRPr="00EA0548">
        <w:rPr>
          <w:rFonts w:cs="Times New Roman" w:hint="eastAsia"/>
        </w:rPr>
        <w:t>文件</w:t>
      </w:r>
      <w:r w:rsidRPr="00EA0548">
        <w:rPr>
          <w:rFonts w:cs="Times New Roman"/>
        </w:rPr>
        <w:t>初稿发放给除牵头单位和</w:t>
      </w:r>
      <w:proofErr w:type="gramStart"/>
      <w:r w:rsidRPr="00EA0548">
        <w:rPr>
          <w:rFonts w:cs="Times New Roman"/>
        </w:rPr>
        <w:t>参编</w:t>
      </w:r>
      <w:proofErr w:type="gramEnd"/>
      <w:r w:rsidRPr="00EA0548">
        <w:rPr>
          <w:rFonts w:cs="Times New Roman"/>
        </w:rPr>
        <w:t>单位外的专家进行意见征集，并根据各专家意见进行了修改完善，形成</w:t>
      </w:r>
      <w:r w:rsidR="00790790" w:rsidRPr="00EA0548">
        <w:rPr>
          <w:rFonts w:cs="Times New Roman" w:hint="eastAsia"/>
        </w:rPr>
        <w:t>文件</w:t>
      </w:r>
      <w:r w:rsidRPr="00EA0548">
        <w:rPr>
          <w:rFonts w:cs="Times New Roman"/>
        </w:rPr>
        <w:t>初稿（第二版）。</w:t>
      </w:r>
    </w:p>
    <w:p w14:paraId="17FF51E0" w14:textId="1B72E654" w:rsidR="00330F3D" w:rsidRPr="00EA0548" w:rsidRDefault="00000000">
      <w:pPr>
        <w:rPr>
          <w:rFonts w:cs="Times New Roman"/>
        </w:rPr>
      </w:pPr>
      <w:r w:rsidRPr="00EA0548">
        <w:rPr>
          <w:rFonts w:cs="Times New Roman"/>
        </w:rPr>
        <w:t>（</w:t>
      </w:r>
      <w:r w:rsidRPr="00EA0548">
        <w:rPr>
          <w:rFonts w:cs="Times New Roman"/>
        </w:rPr>
        <w:t>5</w:t>
      </w:r>
      <w:r w:rsidRPr="00EA0548">
        <w:rPr>
          <w:rFonts w:cs="Times New Roman"/>
        </w:rPr>
        <w:t>）</w:t>
      </w:r>
      <w:r w:rsidRPr="00EA0548">
        <w:rPr>
          <w:rFonts w:cs="Times New Roman"/>
        </w:rPr>
        <w:t>2025</w:t>
      </w:r>
      <w:r w:rsidRPr="00EA0548">
        <w:rPr>
          <w:rFonts w:cs="Times New Roman"/>
        </w:rPr>
        <w:t>年</w:t>
      </w:r>
      <w:r w:rsidRPr="00EA0548">
        <w:rPr>
          <w:rFonts w:cs="Times New Roman"/>
        </w:rPr>
        <w:t>3</w:t>
      </w:r>
      <w:r w:rsidRPr="00EA0548">
        <w:rPr>
          <w:rFonts w:cs="Times New Roman"/>
        </w:rPr>
        <w:t>月</w:t>
      </w:r>
      <w:r w:rsidRPr="00EA0548">
        <w:rPr>
          <w:rFonts w:cs="Times New Roman"/>
        </w:rPr>
        <w:t>16</w:t>
      </w:r>
      <w:r w:rsidRPr="00EA0548">
        <w:rPr>
          <w:rFonts w:cs="Times New Roman"/>
        </w:rPr>
        <w:t>日，向中国地球物理学会</w:t>
      </w:r>
      <w:r w:rsidR="00552DBB" w:rsidRPr="00EA0548">
        <w:rPr>
          <w:rFonts w:cs="Times New Roman" w:hint="eastAsia"/>
        </w:rPr>
        <w:t>团体标准工作委员会</w:t>
      </w:r>
      <w:bookmarkStart w:id="8" w:name="_Hlk198129573"/>
      <w:r w:rsidR="00A713F3" w:rsidRPr="00EA0548">
        <w:rPr>
          <w:rFonts w:cs="Times New Roman" w:hint="eastAsia"/>
        </w:rPr>
        <w:t>（下文简称“标委会”）</w:t>
      </w:r>
      <w:bookmarkEnd w:id="8"/>
      <w:r w:rsidRPr="00EA0548">
        <w:rPr>
          <w:rFonts w:cs="Times New Roman"/>
        </w:rPr>
        <w:t>提交《</w:t>
      </w:r>
      <w:r w:rsidR="00552DBB" w:rsidRPr="00EA0548">
        <w:rPr>
          <w:rFonts w:cs="Times New Roman" w:hint="eastAsia"/>
        </w:rPr>
        <w:t>智能石油勘探装备井下仪器振动试验方法</w:t>
      </w:r>
      <w:r w:rsidRPr="00EA0548">
        <w:rPr>
          <w:rFonts w:cs="Times New Roman"/>
        </w:rPr>
        <w:t>》立项申请书。</w:t>
      </w:r>
    </w:p>
    <w:p w14:paraId="37874B47" w14:textId="100CEABF" w:rsidR="00552DBB" w:rsidRPr="00EA0548" w:rsidRDefault="00552DBB">
      <w:pPr>
        <w:rPr>
          <w:rFonts w:cs="Times New Roman"/>
        </w:rPr>
      </w:pPr>
      <w:bookmarkStart w:id="9" w:name="_Hlk198129596"/>
      <w:r w:rsidRPr="00EA0548">
        <w:rPr>
          <w:rFonts w:cs="Times New Roman" w:hint="eastAsia"/>
        </w:rPr>
        <w:lastRenderedPageBreak/>
        <w:t>（</w:t>
      </w:r>
      <w:r w:rsidRPr="00EA0548">
        <w:rPr>
          <w:rFonts w:cs="Times New Roman" w:hint="eastAsia"/>
        </w:rPr>
        <w:t>6</w:t>
      </w:r>
      <w:r w:rsidRPr="00EA0548">
        <w:rPr>
          <w:rFonts w:cs="Times New Roman" w:hint="eastAsia"/>
        </w:rPr>
        <w:t>）</w:t>
      </w:r>
      <w:r w:rsidRPr="00EA0548">
        <w:rPr>
          <w:rFonts w:cs="Times New Roman" w:hint="eastAsia"/>
        </w:rPr>
        <w:t>2025</w:t>
      </w:r>
      <w:r w:rsidRPr="00EA0548">
        <w:rPr>
          <w:rFonts w:cs="Times New Roman" w:hint="eastAsia"/>
        </w:rPr>
        <w:t>年</w:t>
      </w:r>
      <w:r w:rsidRPr="00EA0548">
        <w:rPr>
          <w:rFonts w:cs="Times New Roman" w:hint="eastAsia"/>
        </w:rPr>
        <w:t>3</w:t>
      </w:r>
      <w:r w:rsidRPr="00EA0548">
        <w:rPr>
          <w:rFonts w:cs="Times New Roman" w:hint="eastAsia"/>
        </w:rPr>
        <w:t>月</w:t>
      </w:r>
      <w:r w:rsidRPr="00EA0548">
        <w:rPr>
          <w:rFonts w:cs="Times New Roman" w:hint="eastAsia"/>
        </w:rPr>
        <w:t>26</w:t>
      </w:r>
      <w:r w:rsidRPr="00EA0548">
        <w:rPr>
          <w:rFonts w:cs="Times New Roman" w:hint="eastAsia"/>
        </w:rPr>
        <w:t>日，标委会在北京组织立项评审，</w:t>
      </w:r>
      <w:r w:rsidR="003C31E3" w:rsidRPr="00EA0548">
        <w:rPr>
          <w:rFonts w:cs="Times New Roman" w:hint="eastAsia"/>
        </w:rPr>
        <w:t>经专家质询，同意立项</w:t>
      </w:r>
      <w:r w:rsidR="004D4976" w:rsidRPr="00EA0548">
        <w:rPr>
          <w:rFonts w:cs="Times New Roman" w:hint="eastAsia"/>
        </w:rPr>
        <w:t>，</w:t>
      </w:r>
      <w:r w:rsidR="003C31E3" w:rsidRPr="00EA0548">
        <w:rPr>
          <w:rFonts w:cs="Times New Roman" w:hint="eastAsia"/>
        </w:rPr>
        <w:t>并</w:t>
      </w:r>
      <w:r w:rsidR="004D4976" w:rsidRPr="00EA0548">
        <w:rPr>
          <w:rFonts w:cs="Times New Roman" w:hint="eastAsia"/>
        </w:rPr>
        <w:t>下发</w:t>
      </w:r>
      <w:r w:rsidR="00A713F3" w:rsidRPr="00EA0548">
        <w:rPr>
          <w:rFonts w:cs="Times New Roman" w:hint="eastAsia"/>
        </w:rPr>
        <w:t>（</w:t>
      </w:r>
      <w:r w:rsidR="003C31E3" w:rsidRPr="00EA0548">
        <w:rPr>
          <w:rFonts w:cs="Times New Roman" w:hint="eastAsia"/>
        </w:rPr>
        <w:t>球会字</w:t>
      </w:r>
      <w:r w:rsidR="00804DA3" w:rsidRPr="00EA0548">
        <w:rPr>
          <w:rFonts w:cs="Times New Roman" w:hint="eastAsia"/>
        </w:rPr>
        <w:t>（</w:t>
      </w:r>
      <w:r w:rsidR="003C31E3" w:rsidRPr="00EA0548">
        <w:rPr>
          <w:rFonts w:cs="Times New Roman" w:hint="eastAsia"/>
        </w:rPr>
        <w:t>2025</w:t>
      </w:r>
      <w:r w:rsidR="00804DA3" w:rsidRPr="00EA0548">
        <w:rPr>
          <w:rFonts w:cs="Times New Roman" w:hint="eastAsia"/>
        </w:rPr>
        <w:t>）</w:t>
      </w:r>
      <w:r w:rsidR="003C31E3" w:rsidRPr="00EA0548">
        <w:rPr>
          <w:rFonts w:cs="Times New Roman" w:hint="eastAsia"/>
        </w:rPr>
        <w:t>第</w:t>
      </w:r>
      <w:r w:rsidR="003C31E3" w:rsidRPr="00EA0548">
        <w:rPr>
          <w:rFonts w:cs="Times New Roman" w:hint="eastAsia"/>
        </w:rPr>
        <w:t>14</w:t>
      </w:r>
      <w:r w:rsidR="003C31E3" w:rsidRPr="00EA0548">
        <w:rPr>
          <w:rFonts w:cs="Times New Roman" w:hint="eastAsia"/>
        </w:rPr>
        <w:t>号</w:t>
      </w:r>
      <w:r w:rsidR="00A713F3" w:rsidRPr="00EA0548">
        <w:rPr>
          <w:rFonts w:cs="Times New Roman" w:hint="eastAsia"/>
        </w:rPr>
        <w:t>）</w:t>
      </w:r>
      <w:r w:rsidR="003C31E3" w:rsidRPr="00EA0548">
        <w:rPr>
          <w:rFonts w:cs="Times New Roman" w:hint="eastAsia"/>
        </w:rPr>
        <w:t>关于开展《智能石油勘探装备井下仪器振动试验方法规范》</w:t>
      </w:r>
      <w:r w:rsidR="00A713F3" w:rsidRPr="00EA0548">
        <w:rPr>
          <w:rFonts w:cs="Times New Roman" w:hint="eastAsia"/>
        </w:rPr>
        <w:t>团体标准</w:t>
      </w:r>
      <w:r w:rsidR="00EE57E4" w:rsidRPr="00EA0548">
        <w:rPr>
          <w:rFonts w:cs="Times New Roman" w:hint="eastAsia"/>
        </w:rPr>
        <w:t>制定</w:t>
      </w:r>
      <w:r w:rsidR="00A713F3" w:rsidRPr="00EA0548">
        <w:rPr>
          <w:rFonts w:cs="Times New Roman" w:hint="eastAsia"/>
        </w:rPr>
        <w:t>的通知</w:t>
      </w:r>
      <w:r w:rsidR="004D4976" w:rsidRPr="00EA0548">
        <w:rPr>
          <w:rFonts w:cs="Times New Roman" w:hint="eastAsia"/>
        </w:rPr>
        <w:t>。</w:t>
      </w:r>
    </w:p>
    <w:p w14:paraId="38F4ABDB" w14:textId="77777777" w:rsidR="00330F3D" w:rsidRPr="00EA0548" w:rsidRDefault="00000000">
      <w:pPr>
        <w:pStyle w:val="3"/>
      </w:pPr>
      <w:bookmarkStart w:id="10" w:name="_Hlk195030587"/>
      <w:bookmarkEnd w:id="9"/>
      <w:r w:rsidRPr="00EA0548">
        <w:t xml:space="preserve">1.2.2 </w:t>
      </w:r>
      <w:r w:rsidRPr="00EA0548">
        <w:t>计划下达后主要工作过程</w:t>
      </w:r>
    </w:p>
    <w:p w14:paraId="1D71D437" w14:textId="77777777" w:rsidR="00330F3D" w:rsidRPr="00EA0548" w:rsidRDefault="00000000">
      <w:pPr>
        <w:rPr>
          <w:rFonts w:cs="Times New Roman"/>
        </w:rPr>
      </w:pPr>
      <w:r w:rsidRPr="00EA0548">
        <w:rPr>
          <w:rFonts w:cs="Times New Roman"/>
        </w:rPr>
        <w:t>计划下达后，</w:t>
      </w:r>
      <w:r w:rsidRPr="00EA0548">
        <w:rPr>
          <w:rFonts w:cs="Times New Roman"/>
          <w:lang w:bidi="ar"/>
        </w:rPr>
        <w:t>主要分</w:t>
      </w:r>
      <w:r w:rsidRPr="00EA0548">
        <w:rPr>
          <w:rFonts w:cs="Times New Roman" w:hint="eastAsia"/>
          <w:lang w:bidi="ar"/>
        </w:rPr>
        <w:t>四</w:t>
      </w:r>
      <w:r w:rsidRPr="00EA0548">
        <w:rPr>
          <w:rFonts w:cs="Times New Roman"/>
          <w:lang w:bidi="ar"/>
        </w:rPr>
        <w:t>个阶段的工作过程。</w:t>
      </w:r>
    </w:p>
    <w:bookmarkEnd w:id="10"/>
    <w:p w14:paraId="32E70BC9" w14:textId="77777777" w:rsidR="00330F3D" w:rsidRPr="00EA0548" w:rsidRDefault="00000000">
      <w:pPr>
        <w:rPr>
          <w:rFonts w:cs="Times New Roman"/>
        </w:rPr>
      </w:pPr>
      <w:r w:rsidRPr="00EA0548">
        <w:rPr>
          <w:rFonts w:cs="Times New Roman"/>
        </w:rPr>
        <w:t>（</w:t>
      </w:r>
      <w:r w:rsidRPr="00EA0548">
        <w:rPr>
          <w:rFonts w:cs="Times New Roman"/>
        </w:rPr>
        <w:t>1</w:t>
      </w:r>
      <w:r w:rsidRPr="00EA0548">
        <w:rPr>
          <w:rFonts w:cs="Times New Roman"/>
        </w:rPr>
        <w:t>）由中国科学院地质与地球物理研究所担任主要编制工作，成立标准编制委员会（以下简称</w:t>
      </w:r>
      <w:r w:rsidRPr="00EA0548">
        <w:rPr>
          <w:rFonts w:cs="Times New Roman"/>
        </w:rPr>
        <w:t>“</w:t>
      </w:r>
      <w:r w:rsidRPr="00EA0548">
        <w:rPr>
          <w:rFonts w:cs="Times New Roman"/>
        </w:rPr>
        <w:t>编委会</w:t>
      </w:r>
      <w:r w:rsidRPr="00EA0548">
        <w:rPr>
          <w:rFonts w:cs="Times New Roman"/>
        </w:rPr>
        <w:t>”</w:t>
      </w:r>
      <w:r w:rsidRPr="00EA0548">
        <w:rPr>
          <w:rFonts w:cs="Times New Roman"/>
        </w:rPr>
        <w:t>），确定工作方案，编制工作计划。</w:t>
      </w:r>
    </w:p>
    <w:p w14:paraId="64BBF4A2" w14:textId="695BDDC5" w:rsidR="00330F3D" w:rsidRPr="00EA0548" w:rsidRDefault="00000000">
      <w:pPr>
        <w:rPr>
          <w:rFonts w:cs="Times New Roman"/>
        </w:rPr>
      </w:pPr>
      <w:r w:rsidRPr="00EA0548">
        <w:rPr>
          <w:rFonts w:cs="Times New Roman"/>
        </w:rPr>
        <w:t>（</w:t>
      </w:r>
      <w:r w:rsidRPr="00EA0548">
        <w:rPr>
          <w:rFonts w:cs="Times New Roman"/>
        </w:rPr>
        <w:t>2</w:t>
      </w:r>
      <w:r w:rsidRPr="00EA0548">
        <w:rPr>
          <w:rFonts w:cs="Times New Roman"/>
        </w:rPr>
        <w:t>）编委会进一步对国内外技术的现状与发展情况进行了全面调研，同时广泛搜集和检索了国内外技术资料，并参考石油行业、石油与天然气工程、地球物理等相关领域行业的相关振动试验标准，经过大量的研究分析、资料查证工作后，结合实际应用经验以及</w:t>
      </w:r>
      <w:proofErr w:type="gramStart"/>
      <w:r w:rsidRPr="00EA0548">
        <w:rPr>
          <w:rFonts w:cs="Times New Roman"/>
        </w:rPr>
        <w:t>智能导钻专项</w:t>
      </w:r>
      <w:proofErr w:type="gramEnd"/>
      <w:r w:rsidRPr="00EA0548">
        <w:rPr>
          <w:rFonts w:cs="Times New Roman"/>
        </w:rPr>
        <w:t>的研究成果，进行了全面地总结和归纳，于</w:t>
      </w:r>
      <w:r w:rsidRPr="00EA0548">
        <w:rPr>
          <w:rFonts w:cs="Times New Roman"/>
        </w:rPr>
        <w:t>2025</w:t>
      </w:r>
      <w:r w:rsidRPr="00EA0548">
        <w:rPr>
          <w:rFonts w:cs="Times New Roman"/>
        </w:rPr>
        <w:t>年</w:t>
      </w:r>
      <w:r w:rsidRPr="00EA0548">
        <w:rPr>
          <w:rFonts w:cs="Times New Roman"/>
        </w:rPr>
        <w:t>4</w:t>
      </w:r>
      <w:r w:rsidRPr="00EA0548">
        <w:rPr>
          <w:rFonts w:cs="Times New Roman"/>
        </w:rPr>
        <w:t>月</w:t>
      </w:r>
      <w:r w:rsidRPr="00EA0548">
        <w:rPr>
          <w:rFonts w:cs="Times New Roman"/>
        </w:rPr>
        <w:t>4</w:t>
      </w:r>
      <w:r w:rsidRPr="00EA0548">
        <w:rPr>
          <w:rFonts w:cs="Times New Roman"/>
        </w:rPr>
        <w:t>形成《</w:t>
      </w:r>
      <w:r w:rsidR="00552DBB" w:rsidRPr="00EA0548">
        <w:rPr>
          <w:rFonts w:cs="Times New Roman" w:hint="eastAsia"/>
        </w:rPr>
        <w:t>智能石油勘探装备井下仪器振动试验方法规范</w:t>
      </w:r>
      <w:r w:rsidRPr="00EA0548">
        <w:rPr>
          <w:rFonts w:cs="Times New Roman"/>
        </w:rPr>
        <w:t>》（初稿第三版），并</w:t>
      </w:r>
      <w:proofErr w:type="gramStart"/>
      <w:r w:rsidRPr="00EA0548">
        <w:rPr>
          <w:rFonts w:cs="Times New Roman"/>
        </w:rPr>
        <w:t>提交给标委</w:t>
      </w:r>
      <w:proofErr w:type="gramEnd"/>
      <w:r w:rsidRPr="00EA0548">
        <w:rPr>
          <w:rFonts w:cs="Times New Roman"/>
        </w:rPr>
        <w:t>会</w:t>
      </w:r>
      <w:r w:rsidR="005946B4" w:rsidRPr="00EA0548">
        <w:rPr>
          <w:rFonts w:cs="Times New Roman" w:hint="eastAsia"/>
        </w:rPr>
        <w:t>审核</w:t>
      </w:r>
      <w:r w:rsidRPr="00EA0548">
        <w:rPr>
          <w:rFonts w:cs="Times New Roman"/>
        </w:rPr>
        <w:t>，待组织专家</w:t>
      </w:r>
      <w:r w:rsidR="00D13120" w:rsidRPr="00EA0548">
        <w:rPr>
          <w:rFonts w:cs="Times New Roman" w:hint="eastAsia"/>
        </w:rPr>
        <w:t>进行</w:t>
      </w:r>
      <w:r w:rsidR="00552DBB" w:rsidRPr="00EA0548">
        <w:rPr>
          <w:rFonts w:cs="Times New Roman" w:hint="eastAsia"/>
        </w:rPr>
        <w:t>初稿</w:t>
      </w:r>
      <w:r w:rsidRPr="00EA0548">
        <w:rPr>
          <w:rFonts w:cs="Times New Roman"/>
        </w:rPr>
        <w:t>审议。</w:t>
      </w:r>
    </w:p>
    <w:p w14:paraId="19A4EA28" w14:textId="342144E2" w:rsidR="00330F3D" w:rsidRPr="00EA0548" w:rsidRDefault="00000000">
      <w:pPr>
        <w:rPr>
          <w:rFonts w:cs="Times New Roman"/>
        </w:rPr>
      </w:pPr>
      <w:r w:rsidRPr="00EA0548">
        <w:rPr>
          <w:rFonts w:cs="Times New Roman" w:hint="eastAsia"/>
        </w:rPr>
        <w:t>（</w:t>
      </w:r>
      <w:r w:rsidRPr="00EA0548">
        <w:rPr>
          <w:rFonts w:cs="Times New Roman" w:hint="eastAsia"/>
        </w:rPr>
        <w:t>3</w:t>
      </w:r>
      <w:r w:rsidRPr="00EA0548">
        <w:rPr>
          <w:rFonts w:cs="Times New Roman" w:hint="eastAsia"/>
        </w:rPr>
        <w:t>）</w:t>
      </w:r>
      <w:r w:rsidRPr="00EA0548">
        <w:rPr>
          <w:rFonts w:cs="Times New Roman" w:hint="eastAsia"/>
        </w:rPr>
        <w:t>2025</w:t>
      </w:r>
      <w:r w:rsidRPr="00EA0548">
        <w:rPr>
          <w:rFonts w:cs="Times New Roman" w:hint="eastAsia"/>
        </w:rPr>
        <w:t>年</w:t>
      </w:r>
      <w:r w:rsidRPr="00EA0548">
        <w:rPr>
          <w:rFonts w:cs="Times New Roman" w:hint="eastAsia"/>
        </w:rPr>
        <w:t>4</w:t>
      </w:r>
      <w:r w:rsidRPr="00EA0548">
        <w:rPr>
          <w:rFonts w:cs="Times New Roman" w:hint="eastAsia"/>
        </w:rPr>
        <w:t>月</w:t>
      </w:r>
      <w:r w:rsidRPr="00EA0548">
        <w:rPr>
          <w:rFonts w:cs="Times New Roman" w:hint="eastAsia"/>
        </w:rPr>
        <w:t>9</w:t>
      </w:r>
      <w:r w:rsidRPr="00EA0548">
        <w:rPr>
          <w:rFonts w:cs="Times New Roman" w:hint="eastAsia"/>
        </w:rPr>
        <w:t>日</w:t>
      </w:r>
      <w:r w:rsidR="00507CA2" w:rsidRPr="00EA0548">
        <w:rPr>
          <w:rFonts w:cs="Times New Roman" w:hint="eastAsia"/>
        </w:rPr>
        <w:t>，</w:t>
      </w:r>
      <w:bookmarkStart w:id="11" w:name="_Hlk198129709"/>
      <w:r w:rsidR="005946B4" w:rsidRPr="00EA0548">
        <w:rPr>
          <w:rFonts w:cs="Times New Roman"/>
        </w:rPr>
        <w:t>标委会</w:t>
      </w:r>
      <w:bookmarkEnd w:id="11"/>
      <w:r w:rsidRPr="00EA0548">
        <w:rPr>
          <w:rFonts w:cs="Times New Roman" w:hint="eastAsia"/>
        </w:rPr>
        <w:t>组织专家对</w:t>
      </w:r>
      <w:r w:rsidRPr="00EA0548">
        <w:rPr>
          <w:rFonts w:cs="Times New Roman"/>
        </w:rPr>
        <w:t>《</w:t>
      </w:r>
      <w:r w:rsidR="00552DBB" w:rsidRPr="00EA0548">
        <w:rPr>
          <w:rFonts w:cs="Times New Roman" w:hint="eastAsia"/>
        </w:rPr>
        <w:t>智能石油勘探装备井下仪器振动试验方法规范</w:t>
      </w:r>
      <w:r w:rsidRPr="00EA0548">
        <w:rPr>
          <w:rFonts w:cs="Times New Roman"/>
        </w:rPr>
        <w:t>》（初稿第</w:t>
      </w:r>
      <w:r w:rsidRPr="00EA0548">
        <w:rPr>
          <w:rFonts w:cs="Times New Roman" w:hint="eastAsia"/>
        </w:rPr>
        <w:t>四</w:t>
      </w:r>
      <w:r w:rsidRPr="00EA0548">
        <w:rPr>
          <w:rFonts w:cs="Times New Roman"/>
        </w:rPr>
        <w:t>版）</w:t>
      </w:r>
      <w:r w:rsidRPr="00EA0548">
        <w:rPr>
          <w:rFonts w:cs="Times New Roman" w:hint="eastAsia"/>
        </w:rPr>
        <w:t>进行评审</w:t>
      </w:r>
      <w:r w:rsidR="005946B4" w:rsidRPr="00EA0548">
        <w:rPr>
          <w:rFonts w:cs="Times New Roman" w:hint="eastAsia"/>
        </w:rPr>
        <w:t>，</w:t>
      </w:r>
      <w:bookmarkStart w:id="12" w:name="_Hlk198129758"/>
      <w:r w:rsidR="005946B4" w:rsidRPr="00EA0548">
        <w:rPr>
          <w:rFonts w:cs="Times New Roman" w:hint="eastAsia"/>
        </w:rPr>
        <w:t>经专家质询，同意</w:t>
      </w:r>
      <w:r w:rsidR="00D13120" w:rsidRPr="00EA0548">
        <w:rPr>
          <w:rFonts w:cs="Times New Roman" w:hint="eastAsia"/>
        </w:rPr>
        <w:t>通过</w:t>
      </w:r>
      <w:r w:rsidR="005946B4" w:rsidRPr="00EA0548">
        <w:rPr>
          <w:rFonts w:cs="Times New Roman" w:hint="eastAsia"/>
        </w:rPr>
        <w:t>初稿评审，并建议将《智能石油勘探装备井下仪器振动试验方法规范》更改为《油气勘探装备智能导钻仪器振动试验方法》</w:t>
      </w:r>
      <w:r w:rsidRPr="00EA0548">
        <w:rPr>
          <w:rFonts w:cs="Times New Roman" w:hint="eastAsia"/>
        </w:rPr>
        <w:t>。</w:t>
      </w:r>
      <w:bookmarkEnd w:id="12"/>
    </w:p>
    <w:p w14:paraId="66B7CB4F" w14:textId="392B5DB7" w:rsidR="00330F3D" w:rsidRPr="00EA0548" w:rsidRDefault="00000000" w:rsidP="00871876">
      <w:pPr>
        <w:rPr>
          <w:rFonts w:cs="Times New Roman"/>
        </w:rPr>
      </w:pPr>
      <w:r w:rsidRPr="00EA0548">
        <w:rPr>
          <w:rFonts w:cs="Times New Roman" w:hint="eastAsia"/>
        </w:rPr>
        <w:t>（</w:t>
      </w:r>
      <w:r w:rsidRPr="00EA0548">
        <w:rPr>
          <w:rFonts w:cs="Times New Roman" w:hint="eastAsia"/>
        </w:rPr>
        <w:t>4</w:t>
      </w:r>
      <w:r w:rsidRPr="00EA0548">
        <w:rPr>
          <w:rFonts w:cs="Times New Roman" w:hint="eastAsia"/>
        </w:rPr>
        <w:t>）</w:t>
      </w:r>
      <w:r w:rsidRPr="00EA0548">
        <w:rPr>
          <w:rFonts w:cs="Times New Roman" w:hint="eastAsia"/>
        </w:rPr>
        <w:t>2025</w:t>
      </w:r>
      <w:r w:rsidRPr="00EA0548">
        <w:rPr>
          <w:rFonts w:cs="Times New Roman" w:hint="eastAsia"/>
        </w:rPr>
        <w:t>年</w:t>
      </w:r>
      <w:r w:rsidRPr="00EA0548">
        <w:rPr>
          <w:rFonts w:cs="Times New Roman" w:hint="eastAsia"/>
        </w:rPr>
        <w:t>4</w:t>
      </w:r>
      <w:r w:rsidRPr="00EA0548">
        <w:rPr>
          <w:rFonts w:cs="Times New Roman" w:hint="eastAsia"/>
        </w:rPr>
        <w:t>月</w:t>
      </w:r>
      <w:r w:rsidRPr="00EA0548">
        <w:rPr>
          <w:rFonts w:cs="Times New Roman" w:hint="eastAsia"/>
        </w:rPr>
        <w:t>9</w:t>
      </w:r>
      <w:r w:rsidRPr="00EA0548">
        <w:rPr>
          <w:rFonts w:cs="Times New Roman" w:hint="eastAsia"/>
        </w:rPr>
        <w:t>日至</w:t>
      </w:r>
      <w:r w:rsidRPr="00EA0548">
        <w:rPr>
          <w:rFonts w:cs="Times New Roman" w:hint="eastAsia"/>
        </w:rPr>
        <w:t>4</w:t>
      </w:r>
      <w:r w:rsidRPr="00EA0548">
        <w:rPr>
          <w:rFonts w:cs="Times New Roman" w:hint="eastAsia"/>
        </w:rPr>
        <w:t>月</w:t>
      </w:r>
      <w:r w:rsidRPr="00EA0548">
        <w:rPr>
          <w:rFonts w:cs="Times New Roman" w:hint="eastAsia"/>
        </w:rPr>
        <w:t>22</w:t>
      </w:r>
      <w:r w:rsidRPr="00EA0548">
        <w:rPr>
          <w:rFonts w:cs="Times New Roman" w:hint="eastAsia"/>
        </w:rPr>
        <w:t>日</w:t>
      </w:r>
      <w:r w:rsidR="00507CA2" w:rsidRPr="00EA0548">
        <w:rPr>
          <w:rFonts w:cs="Times New Roman" w:hint="eastAsia"/>
        </w:rPr>
        <w:t>，编</w:t>
      </w:r>
      <w:r w:rsidRPr="00EA0548">
        <w:rPr>
          <w:rFonts w:cs="Times New Roman" w:hint="eastAsia"/>
        </w:rPr>
        <w:t>委会根据初稿评审专家意见修改完善</w:t>
      </w:r>
      <w:r w:rsidR="00262EB2" w:rsidRPr="00EA0548">
        <w:rPr>
          <w:rFonts w:cs="Times New Roman" w:hint="eastAsia"/>
        </w:rPr>
        <w:t>。</w:t>
      </w:r>
      <w:r w:rsidRPr="00EA0548">
        <w:rPr>
          <w:rFonts w:cs="Times New Roman" w:hint="eastAsia"/>
        </w:rPr>
        <w:t>4</w:t>
      </w:r>
      <w:r w:rsidRPr="00EA0548">
        <w:rPr>
          <w:rFonts w:cs="Times New Roman" w:hint="eastAsia"/>
        </w:rPr>
        <w:t>月</w:t>
      </w:r>
      <w:r w:rsidRPr="00EA0548">
        <w:rPr>
          <w:rFonts w:cs="Times New Roman" w:hint="eastAsia"/>
        </w:rPr>
        <w:t>23</w:t>
      </w:r>
      <w:r w:rsidRPr="00EA0548">
        <w:rPr>
          <w:rFonts w:cs="Times New Roman" w:hint="eastAsia"/>
        </w:rPr>
        <w:t>日</w:t>
      </w:r>
      <w:r w:rsidR="00262EB2" w:rsidRPr="00EA0548">
        <w:rPr>
          <w:rFonts w:cs="Times New Roman" w:hint="eastAsia"/>
        </w:rPr>
        <w:t>，编委会</w:t>
      </w:r>
      <w:r w:rsidRPr="00EA0548">
        <w:rPr>
          <w:rFonts w:cs="Times New Roman" w:hint="eastAsia"/>
        </w:rPr>
        <w:t>将修改完善后</w:t>
      </w:r>
      <w:r w:rsidR="00552DBB" w:rsidRPr="00EA0548">
        <w:rPr>
          <w:rFonts w:cs="Times New Roman" w:hint="eastAsia"/>
        </w:rPr>
        <w:t>的</w:t>
      </w:r>
      <w:r w:rsidRPr="00EA0548">
        <w:rPr>
          <w:rFonts w:cs="Times New Roman"/>
        </w:rPr>
        <w:t>《</w:t>
      </w:r>
      <w:r w:rsidRPr="00EA0548">
        <w:rPr>
          <w:rFonts w:cs="Times New Roman" w:hint="eastAsia"/>
        </w:rPr>
        <w:t>油气勘探装备智能导钻仪器振动试验方法</w:t>
      </w:r>
      <w:r w:rsidRPr="00EA0548">
        <w:rPr>
          <w:rFonts w:cs="Times New Roman"/>
        </w:rPr>
        <w:t>》（初稿第</w:t>
      </w:r>
      <w:r w:rsidRPr="00EA0548">
        <w:rPr>
          <w:rFonts w:cs="Times New Roman" w:hint="eastAsia"/>
        </w:rPr>
        <w:t>五</w:t>
      </w:r>
      <w:r w:rsidRPr="00EA0548">
        <w:rPr>
          <w:rFonts w:cs="Times New Roman"/>
        </w:rPr>
        <w:t>版）</w:t>
      </w:r>
      <w:r w:rsidRPr="00EA0548">
        <w:rPr>
          <w:rFonts w:cs="Times New Roman" w:hint="eastAsia"/>
        </w:rPr>
        <w:t>发给</w:t>
      </w:r>
      <w:r w:rsidRPr="00EA0548">
        <w:rPr>
          <w:rFonts w:cs="Times New Roman" w:hint="eastAsia"/>
        </w:rPr>
        <w:t>3</w:t>
      </w:r>
      <w:r w:rsidRPr="00EA0548">
        <w:rPr>
          <w:rFonts w:cs="Times New Roman" w:hint="eastAsia"/>
        </w:rPr>
        <w:t>位跟踪专家审核。</w:t>
      </w:r>
      <w:bookmarkStart w:id="13" w:name="_Hlk198129925"/>
      <w:r w:rsidRPr="00EA0548">
        <w:rPr>
          <w:rFonts w:cs="Times New Roman" w:hint="eastAsia"/>
        </w:rPr>
        <w:t>5</w:t>
      </w:r>
      <w:r w:rsidRPr="00EA0548">
        <w:rPr>
          <w:rFonts w:cs="Times New Roman" w:hint="eastAsia"/>
        </w:rPr>
        <w:t>月</w:t>
      </w:r>
      <w:r w:rsidRPr="00EA0548">
        <w:rPr>
          <w:rFonts w:cs="Times New Roman" w:hint="eastAsia"/>
        </w:rPr>
        <w:t>8</w:t>
      </w:r>
      <w:r w:rsidRPr="00EA0548">
        <w:rPr>
          <w:rFonts w:cs="Times New Roman" w:hint="eastAsia"/>
        </w:rPr>
        <w:t>日</w:t>
      </w:r>
      <w:r w:rsidR="00262EB2" w:rsidRPr="00EA0548">
        <w:rPr>
          <w:rFonts w:cs="Times New Roman" w:hint="eastAsia"/>
        </w:rPr>
        <w:t>，</w:t>
      </w:r>
      <w:r w:rsidRPr="00EA0548">
        <w:rPr>
          <w:rFonts w:cs="Times New Roman" w:hint="eastAsia"/>
        </w:rPr>
        <w:t>编委会根据</w:t>
      </w:r>
      <w:r w:rsidRPr="00EA0548">
        <w:rPr>
          <w:rFonts w:cs="Times New Roman" w:hint="eastAsia"/>
        </w:rPr>
        <w:t>3</w:t>
      </w:r>
      <w:r w:rsidRPr="00EA0548">
        <w:rPr>
          <w:rFonts w:cs="Times New Roman" w:hint="eastAsia"/>
        </w:rPr>
        <w:t>位跟踪专家反馈的意见再次修改完善形成第六版</w:t>
      </w:r>
      <w:r w:rsidR="00871876" w:rsidRPr="00EA0548">
        <w:rPr>
          <w:rFonts w:cs="Times New Roman" w:hint="eastAsia"/>
        </w:rPr>
        <w:t>作为征求意见稿</w:t>
      </w:r>
      <w:proofErr w:type="gramStart"/>
      <w:r w:rsidRPr="00EA0548">
        <w:rPr>
          <w:rFonts w:cs="Times New Roman" w:hint="eastAsia"/>
        </w:rPr>
        <w:t>提交至</w:t>
      </w:r>
      <w:r w:rsidR="00262EB2" w:rsidRPr="00EA0548">
        <w:rPr>
          <w:rFonts w:cs="Times New Roman" w:hint="eastAsia"/>
        </w:rPr>
        <w:t>标委</w:t>
      </w:r>
      <w:proofErr w:type="gramEnd"/>
      <w:r w:rsidR="00262EB2" w:rsidRPr="00EA0548">
        <w:rPr>
          <w:rFonts w:cs="Times New Roman" w:hint="eastAsia"/>
        </w:rPr>
        <w:t>会，开展征求意见</w:t>
      </w:r>
      <w:r w:rsidRPr="00EA0548">
        <w:rPr>
          <w:rFonts w:cs="Times New Roman" w:hint="eastAsia"/>
        </w:rPr>
        <w:t>。</w:t>
      </w:r>
      <w:bookmarkEnd w:id="13"/>
    </w:p>
    <w:p w14:paraId="33FF7A2E" w14:textId="77777777" w:rsidR="00330F3D" w:rsidRPr="00EA0548" w:rsidRDefault="00000000">
      <w:pPr>
        <w:pStyle w:val="1"/>
        <w:rPr>
          <w:rFonts w:cs="Times New Roman"/>
        </w:rPr>
      </w:pPr>
      <w:bookmarkStart w:id="14" w:name="_Toc195030354"/>
      <w:bookmarkStart w:id="15" w:name="_Toc509908445"/>
      <w:r w:rsidRPr="00EA0548">
        <w:rPr>
          <w:rFonts w:cs="Times New Roman"/>
        </w:rPr>
        <w:t xml:space="preserve">2. </w:t>
      </w:r>
      <w:r w:rsidRPr="00EA0548">
        <w:rPr>
          <w:rFonts w:cs="Times New Roman"/>
        </w:rPr>
        <w:t>标准编制原则和主要内容</w:t>
      </w:r>
      <w:bookmarkEnd w:id="14"/>
    </w:p>
    <w:p w14:paraId="6AFF0070" w14:textId="77777777" w:rsidR="00330F3D" w:rsidRPr="00EA0548" w:rsidRDefault="00000000">
      <w:pPr>
        <w:pStyle w:val="2"/>
        <w:rPr>
          <w:rFonts w:cs="Times New Roman"/>
        </w:rPr>
      </w:pPr>
      <w:bookmarkStart w:id="16" w:name="_Toc195030355"/>
      <w:r w:rsidRPr="00EA0548">
        <w:rPr>
          <w:rFonts w:cs="Times New Roman"/>
        </w:rPr>
        <w:t xml:space="preserve">2.1 </w:t>
      </w:r>
      <w:r w:rsidRPr="00EA0548">
        <w:rPr>
          <w:rFonts w:cs="Times New Roman"/>
        </w:rPr>
        <w:t>标准编制原则</w:t>
      </w:r>
      <w:bookmarkEnd w:id="16"/>
    </w:p>
    <w:p w14:paraId="53C0BEB3" w14:textId="11DA7687" w:rsidR="00330F3D" w:rsidRPr="00EA0548" w:rsidRDefault="00000000">
      <w:pPr>
        <w:rPr>
          <w:rFonts w:cs="Times New Roman"/>
        </w:rPr>
      </w:pPr>
      <w:bookmarkStart w:id="17" w:name="_Toc509908446"/>
      <w:bookmarkEnd w:id="15"/>
      <w:r w:rsidRPr="00EA0548">
        <w:rPr>
          <w:rFonts w:cs="Times New Roman"/>
        </w:rPr>
        <w:t>（</w:t>
      </w:r>
      <w:r w:rsidRPr="00EA0548">
        <w:rPr>
          <w:rFonts w:cs="Times New Roman"/>
        </w:rPr>
        <w:t>1</w:t>
      </w:r>
      <w:r w:rsidRPr="00EA0548">
        <w:rPr>
          <w:rFonts w:cs="Times New Roman"/>
        </w:rPr>
        <w:t>）</w:t>
      </w:r>
      <w:r w:rsidR="00804DA3" w:rsidRPr="00EA0548">
        <w:rPr>
          <w:rFonts w:cs="Times New Roman" w:hint="eastAsia"/>
        </w:rPr>
        <w:t xml:space="preserve"> </w:t>
      </w:r>
      <w:r w:rsidRPr="00EA0548">
        <w:rPr>
          <w:rFonts w:cs="Times New Roman"/>
        </w:rPr>
        <w:t>贯彻我国相关法律法规和强制性国家标准，与我国现行标准协调一致。</w:t>
      </w:r>
    </w:p>
    <w:p w14:paraId="2460B62A" w14:textId="77777777" w:rsidR="00330F3D" w:rsidRPr="00EA0548" w:rsidRDefault="00000000">
      <w:pPr>
        <w:rPr>
          <w:rFonts w:cs="Times New Roman"/>
        </w:rPr>
      </w:pPr>
      <w:r w:rsidRPr="00EA0548">
        <w:rPr>
          <w:rFonts w:cs="Times New Roman"/>
        </w:rPr>
        <w:t>（</w:t>
      </w:r>
      <w:r w:rsidRPr="00EA0548">
        <w:rPr>
          <w:rFonts w:cs="Times New Roman"/>
        </w:rPr>
        <w:t>2</w:t>
      </w:r>
      <w:r w:rsidRPr="00EA0548">
        <w:rPr>
          <w:rFonts w:cs="Times New Roman"/>
        </w:rPr>
        <w:t>）满足石油行业、地球物理技术发展需求，提升标准技术水平，适应不同产业的发展。</w:t>
      </w:r>
    </w:p>
    <w:p w14:paraId="2D393AA2" w14:textId="77777777" w:rsidR="00330F3D" w:rsidRPr="00EA0548" w:rsidRDefault="00000000">
      <w:pPr>
        <w:rPr>
          <w:rFonts w:cs="Times New Roman"/>
        </w:rPr>
      </w:pPr>
      <w:r w:rsidRPr="00EA0548">
        <w:rPr>
          <w:rFonts w:cs="Times New Roman"/>
        </w:rPr>
        <w:lastRenderedPageBreak/>
        <w:t>（</w:t>
      </w:r>
      <w:r w:rsidRPr="00EA0548">
        <w:rPr>
          <w:rFonts w:cs="Times New Roman"/>
        </w:rPr>
        <w:t>3</w:t>
      </w:r>
      <w:r w:rsidRPr="00EA0548">
        <w:rPr>
          <w:rFonts w:cs="Times New Roman"/>
        </w:rPr>
        <w:t>）满足市场需要，保证试验质量，规范市场秩序。</w:t>
      </w:r>
      <w:r w:rsidRPr="00EA0548">
        <w:rPr>
          <w:rFonts w:cs="Times New Roman"/>
        </w:rPr>
        <w:t xml:space="preserve"> </w:t>
      </w:r>
    </w:p>
    <w:p w14:paraId="078B165F" w14:textId="77777777" w:rsidR="00330F3D" w:rsidRPr="00EA0548" w:rsidRDefault="00000000">
      <w:pPr>
        <w:rPr>
          <w:rFonts w:cs="Times New Roman"/>
        </w:rPr>
      </w:pPr>
      <w:r w:rsidRPr="00EA0548">
        <w:rPr>
          <w:rFonts w:cs="Times New Roman"/>
        </w:rPr>
        <w:t>（</w:t>
      </w:r>
      <w:r w:rsidRPr="00EA0548">
        <w:rPr>
          <w:rFonts w:cs="Times New Roman"/>
        </w:rPr>
        <w:t>4</w:t>
      </w:r>
      <w:r w:rsidRPr="00EA0548">
        <w:rPr>
          <w:rFonts w:cs="Times New Roman"/>
        </w:rPr>
        <w:t>）积极向国际标准靠拢，力求做到标准内容的先进性。</w:t>
      </w:r>
    </w:p>
    <w:p w14:paraId="7DE5F2DB" w14:textId="77777777" w:rsidR="00330F3D" w:rsidRPr="00EA0548" w:rsidRDefault="00000000">
      <w:pPr>
        <w:rPr>
          <w:rFonts w:cs="Times New Roman"/>
        </w:rPr>
      </w:pPr>
      <w:r w:rsidRPr="00EA0548">
        <w:rPr>
          <w:rFonts w:cs="Times New Roman"/>
        </w:rPr>
        <w:t>（</w:t>
      </w:r>
      <w:r w:rsidRPr="00EA0548">
        <w:rPr>
          <w:rFonts w:cs="Times New Roman"/>
        </w:rPr>
        <w:t>5</w:t>
      </w:r>
      <w:r w:rsidRPr="00EA0548">
        <w:rPr>
          <w:rFonts w:cs="Times New Roman"/>
        </w:rPr>
        <w:t>）根据国内不同领域、行业企业具体情况，力求做到标准的合理性、经济性与实用性。</w:t>
      </w:r>
    </w:p>
    <w:p w14:paraId="79A2AC2C" w14:textId="77777777" w:rsidR="00330F3D" w:rsidRPr="00EA0548" w:rsidRDefault="00000000">
      <w:pPr>
        <w:rPr>
          <w:rFonts w:cs="Times New Roman"/>
        </w:rPr>
      </w:pPr>
      <w:r w:rsidRPr="00EA0548">
        <w:rPr>
          <w:rFonts w:cs="Times New Roman"/>
        </w:rPr>
        <w:t>（</w:t>
      </w:r>
      <w:r w:rsidRPr="00EA0548">
        <w:rPr>
          <w:rFonts w:cs="Times New Roman"/>
        </w:rPr>
        <w:t>6</w:t>
      </w:r>
      <w:r w:rsidRPr="00EA0548">
        <w:rPr>
          <w:rFonts w:cs="Times New Roman"/>
        </w:rPr>
        <w:t>）格式符合</w:t>
      </w:r>
      <w:r w:rsidRPr="00EA0548">
        <w:rPr>
          <w:rFonts w:cs="Times New Roman"/>
        </w:rPr>
        <w:t>GB/T1.1 2020</w:t>
      </w:r>
      <w:r w:rsidRPr="00EA0548">
        <w:rPr>
          <w:rFonts w:cs="Times New Roman"/>
        </w:rPr>
        <w:t>《标准化工作导则</w:t>
      </w:r>
      <w:r w:rsidRPr="00EA0548">
        <w:rPr>
          <w:rFonts w:cs="Times New Roman"/>
        </w:rPr>
        <w:t xml:space="preserve"> </w:t>
      </w:r>
      <w:r w:rsidRPr="00EA0548">
        <w:rPr>
          <w:rFonts w:cs="Times New Roman"/>
        </w:rPr>
        <w:t>第</w:t>
      </w:r>
      <w:r w:rsidRPr="00EA0548">
        <w:rPr>
          <w:rFonts w:cs="Times New Roman"/>
        </w:rPr>
        <w:t>1</w:t>
      </w:r>
      <w:r w:rsidRPr="00EA0548">
        <w:rPr>
          <w:rFonts w:cs="Times New Roman"/>
        </w:rPr>
        <w:t>部分：标准文件的结构和起草规则》。</w:t>
      </w:r>
    </w:p>
    <w:p w14:paraId="70B4147C" w14:textId="77777777" w:rsidR="00330F3D" w:rsidRPr="00EA0548" w:rsidRDefault="00000000">
      <w:pPr>
        <w:rPr>
          <w:rFonts w:cs="Times New Roman"/>
        </w:rPr>
      </w:pPr>
      <w:r w:rsidRPr="00EA0548">
        <w:rPr>
          <w:rFonts w:cs="Times New Roman"/>
        </w:rPr>
        <w:t>（</w:t>
      </w:r>
      <w:r w:rsidRPr="00EA0548">
        <w:rPr>
          <w:rFonts w:cs="Times New Roman"/>
        </w:rPr>
        <w:t>7</w:t>
      </w:r>
      <w:r w:rsidRPr="00EA0548">
        <w:rPr>
          <w:rFonts w:cs="Times New Roman"/>
        </w:rPr>
        <w:t>）标准的编制注重科学性、准确性，同时要在不违背原则的前提下，保留行业内已流行的某些提法。</w:t>
      </w:r>
      <w:r w:rsidRPr="00EA0548">
        <w:rPr>
          <w:rFonts w:cs="Times New Roman"/>
        </w:rPr>
        <w:t xml:space="preserve"> </w:t>
      </w:r>
    </w:p>
    <w:p w14:paraId="4782C6AB" w14:textId="77777777" w:rsidR="00330F3D" w:rsidRPr="00EA0548" w:rsidRDefault="00000000">
      <w:r w:rsidRPr="00EA0548">
        <w:rPr>
          <w:rFonts w:hint="eastAsia"/>
        </w:rPr>
        <w:t>（</w:t>
      </w:r>
      <w:r w:rsidRPr="00EA0548">
        <w:rPr>
          <w:rFonts w:hint="eastAsia"/>
        </w:rPr>
        <w:t>8</w:t>
      </w:r>
      <w:r w:rsidRPr="00EA0548">
        <w:rPr>
          <w:rFonts w:hint="eastAsia"/>
        </w:rPr>
        <w:t>）标准</w:t>
      </w:r>
      <w:r w:rsidRPr="00EA0548">
        <w:rPr>
          <w:rFonts w:cs="Times New Roman" w:hint="eastAsia"/>
        </w:rPr>
        <w:t>编制遵循</w:t>
      </w:r>
      <w:r w:rsidRPr="00EA0548">
        <w:rPr>
          <w:rFonts w:hint="eastAsia"/>
        </w:rPr>
        <w:t>统一、规范、实用性强和可操作性强的原则。</w:t>
      </w:r>
    </w:p>
    <w:p w14:paraId="7F0C5E11" w14:textId="77777777" w:rsidR="00330F3D" w:rsidRPr="00EA0548" w:rsidRDefault="00000000">
      <w:pPr>
        <w:pStyle w:val="2"/>
        <w:rPr>
          <w:rFonts w:cs="Times New Roman"/>
        </w:rPr>
      </w:pPr>
      <w:bookmarkStart w:id="18" w:name="_Toc195030356"/>
      <w:r w:rsidRPr="00EA0548">
        <w:rPr>
          <w:rFonts w:cs="Times New Roman"/>
        </w:rPr>
        <w:t xml:space="preserve">2.2 </w:t>
      </w:r>
      <w:r w:rsidRPr="00EA0548">
        <w:rPr>
          <w:rFonts w:cs="Times New Roman"/>
        </w:rPr>
        <w:t>标准主要内容</w:t>
      </w:r>
      <w:bookmarkEnd w:id="18"/>
    </w:p>
    <w:p w14:paraId="1881AB1D" w14:textId="7CBCC4A7" w:rsidR="00330F3D" w:rsidRPr="00EA0548" w:rsidRDefault="003D52F7">
      <w:pPr>
        <w:rPr>
          <w:rFonts w:cs="Times New Roman"/>
        </w:rPr>
      </w:pPr>
      <w:r w:rsidRPr="00EA0548">
        <w:rPr>
          <w:rFonts w:cs="Times New Roman"/>
        </w:rPr>
        <w:t>本文件按照专业术语</w:t>
      </w:r>
      <w:r w:rsidRPr="00EA0548">
        <w:rPr>
          <w:rFonts w:cs="Times New Roman"/>
        </w:rPr>
        <w:t>—</w:t>
      </w:r>
      <w:r w:rsidRPr="00EA0548">
        <w:rPr>
          <w:rFonts w:cs="Times New Roman"/>
        </w:rPr>
        <w:t>理论简介</w:t>
      </w:r>
      <w:proofErr w:type="gramStart"/>
      <w:r w:rsidRPr="00EA0548">
        <w:rPr>
          <w:rFonts w:cs="Times New Roman"/>
        </w:rPr>
        <w:t>—</w:t>
      </w:r>
      <w:r w:rsidRPr="00EA0548">
        <w:rPr>
          <w:rFonts w:cs="Times New Roman"/>
        </w:rPr>
        <w:t>设备</w:t>
      </w:r>
      <w:proofErr w:type="gramEnd"/>
      <w:r w:rsidRPr="00EA0548">
        <w:rPr>
          <w:rFonts w:cs="Times New Roman"/>
        </w:rPr>
        <w:t>介绍</w:t>
      </w:r>
      <w:r w:rsidRPr="00EA0548">
        <w:rPr>
          <w:rFonts w:cs="Times New Roman"/>
        </w:rPr>
        <w:t>—</w:t>
      </w:r>
      <w:r w:rsidRPr="00EA0548">
        <w:rPr>
          <w:rFonts w:cs="Times New Roman"/>
        </w:rPr>
        <w:t>试验操作</w:t>
      </w:r>
      <w:r w:rsidRPr="00EA0548">
        <w:rPr>
          <w:rFonts w:cs="Times New Roman"/>
        </w:rPr>
        <w:t>—</w:t>
      </w:r>
      <w:r w:rsidRPr="00EA0548">
        <w:rPr>
          <w:rFonts w:cs="Times New Roman"/>
        </w:rPr>
        <w:t>试验结果要求的布局进行编制，附录对振动台试验</w:t>
      </w:r>
      <w:r w:rsidR="001D5311" w:rsidRPr="00EA0548">
        <w:rPr>
          <w:rFonts w:cs="Times New Roman" w:hint="eastAsia"/>
        </w:rPr>
        <w:t>方法</w:t>
      </w:r>
      <w:r w:rsidRPr="00EA0548">
        <w:rPr>
          <w:rFonts w:cs="Times New Roman"/>
        </w:rPr>
        <w:t>特有的理论问题进行了归纳，另外对试验设计中的吊挂和保护装置的工程方法做了总结，方便标准试验，目前结构安排具体如下。</w:t>
      </w:r>
    </w:p>
    <w:p w14:paraId="418E319B" w14:textId="77777777" w:rsidR="00330F3D" w:rsidRPr="00EA0548" w:rsidRDefault="00000000">
      <w:pPr>
        <w:rPr>
          <w:rFonts w:cs="Times New Roman"/>
        </w:rPr>
      </w:pPr>
      <w:r w:rsidRPr="00EA0548">
        <w:rPr>
          <w:rFonts w:cs="Times New Roman"/>
        </w:rPr>
        <w:t>第</w:t>
      </w:r>
      <w:r w:rsidRPr="00EA0548">
        <w:rPr>
          <w:rFonts w:cs="Times New Roman"/>
        </w:rPr>
        <w:t>1-4</w:t>
      </w:r>
      <w:r w:rsidRPr="00EA0548">
        <w:rPr>
          <w:rFonts w:cs="Times New Roman"/>
        </w:rPr>
        <w:t>章是前言、范围、规范性引用文件、术语和定义、符号的介绍；</w:t>
      </w:r>
    </w:p>
    <w:p w14:paraId="0711D863" w14:textId="77777777" w:rsidR="00330F3D" w:rsidRPr="00EA0548" w:rsidRDefault="00000000">
      <w:pPr>
        <w:rPr>
          <w:rFonts w:cs="Times New Roman"/>
        </w:rPr>
      </w:pPr>
      <w:r w:rsidRPr="00EA0548">
        <w:rPr>
          <w:rFonts w:cs="Times New Roman"/>
        </w:rPr>
        <w:t>第</w:t>
      </w:r>
      <w:r w:rsidRPr="00EA0548">
        <w:rPr>
          <w:rFonts w:cs="Times New Roman"/>
        </w:rPr>
        <w:t>5</w:t>
      </w:r>
      <w:r w:rsidRPr="00EA0548">
        <w:rPr>
          <w:rFonts w:cs="Times New Roman"/>
        </w:rPr>
        <w:t>章为试验要求，包括试验环境、试验</w:t>
      </w:r>
      <w:r w:rsidRPr="00EA0548">
        <w:rPr>
          <w:rFonts w:cs="Times New Roman" w:hint="eastAsia"/>
        </w:rPr>
        <w:t>条件</w:t>
      </w:r>
      <w:r w:rsidRPr="00EA0548">
        <w:rPr>
          <w:rFonts w:cs="Times New Roman"/>
        </w:rPr>
        <w:t>、控制方式和控制点的选取、试验允差；</w:t>
      </w:r>
    </w:p>
    <w:p w14:paraId="52A6EF9B" w14:textId="5E5C07DB" w:rsidR="00330F3D" w:rsidRPr="00EA0548" w:rsidRDefault="00000000">
      <w:pPr>
        <w:rPr>
          <w:rFonts w:cs="Times New Roman"/>
        </w:rPr>
      </w:pPr>
      <w:r w:rsidRPr="00EA0548">
        <w:rPr>
          <w:rFonts w:cs="Times New Roman"/>
        </w:rPr>
        <w:t>第</w:t>
      </w:r>
      <w:r w:rsidRPr="00EA0548">
        <w:rPr>
          <w:rFonts w:cs="Times New Roman"/>
        </w:rPr>
        <w:t>6</w:t>
      </w:r>
      <w:r w:rsidRPr="00EA0548">
        <w:rPr>
          <w:rFonts w:cs="Times New Roman"/>
        </w:rPr>
        <w:t>章为试验</w:t>
      </w:r>
      <w:r w:rsidRPr="00EA0548">
        <w:rPr>
          <w:rFonts w:cs="Times New Roman" w:hint="eastAsia"/>
        </w:rPr>
        <w:t>设备要求</w:t>
      </w:r>
      <w:r w:rsidRPr="00EA0548">
        <w:rPr>
          <w:rFonts w:cs="Times New Roman"/>
        </w:rPr>
        <w:t>，包括</w:t>
      </w:r>
      <w:r w:rsidRPr="00EA0548">
        <w:rPr>
          <w:rFonts w:cs="Times New Roman" w:hint="eastAsia"/>
        </w:rPr>
        <w:t>一般要求、电动振动台、机械解耦装置、振动控制系统、振动测量和分析系统、振动试验夹具、吊挂装置和保护装置</w:t>
      </w:r>
      <w:r w:rsidRPr="00EA0548">
        <w:rPr>
          <w:rFonts w:cs="Times New Roman"/>
        </w:rPr>
        <w:t>；</w:t>
      </w:r>
    </w:p>
    <w:p w14:paraId="6942FC80" w14:textId="77777777" w:rsidR="00330F3D" w:rsidRPr="00EA0548" w:rsidRDefault="00000000">
      <w:pPr>
        <w:rPr>
          <w:rFonts w:cs="Times New Roman"/>
        </w:rPr>
      </w:pPr>
      <w:r w:rsidRPr="00EA0548">
        <w:rPr>
          <w:rFonts w:cs="Times New Roman"/>
        </w:rPr>
        <w:t>第</w:t>
      </w:r>
      <w:r w:rsidRPr="00EA0548">
        <w:rPr>
          <w:rFonts w:cs="Times New Roman"/>
        </w:rPr>
        <w:t>7</w:t>
      </w:r>
      <w:r w:rsidRPr="00EA0548">
        <w:rPr>
          <w:rFonts w:cs="Times New Roman"/>
        </w:rPr>
        <w:t>章为试验程序，包括试验</w:t>
      </w:r>
      <w:r w:rsidRPr="00EA0548">
        <w:rPr>
          <w:rFonts w:cs="Times New Roman" w:hint="eastAsia"/>
        </w:rPr>
        <w:t>流程、试验</w:t>
      </w:r>
      <w:r w:rsidRPr="00EA0548">
        <w:rPr>
          <w:rFonts w:cs="Times New Roman"/>
        </w:rPr>
        <w:t>准备、试验实施；</w:t>
      </w:r>
    </w:p>
    <w:p w14:paraId="49DDA99E" w14:textId="77777777" w:rsidR="00330F3D" w:rsidRPr="00EA0548" w:rsidRDefault="00000000">
      <w:pPr>
        <w:rPr>
          <w:rFonts w:cs="Times New Roman"/>
        </w:rPr>
      </w:pPr>
      <w:r w:rsidRPr="00EA0548">
        <w:rPr>
          <w:rFonts w:cs="Times New Roman"/>
        </w:rPr>
        <w:t>第</w:t>
      </w:r>
      <w:r w:rsidRPr="00EA0548">
        <w:rPr>
          <w:rFonts w:cs="Times New Roman" w:hint="eastAsia"/>
        </w:rPr>
        <w:t>8</w:t>
      </w:r>
      <w:r w:rsidRPr="00EA0548">
        <w:rPr>
          <w:rFonts w:cs="Times New Roman"/>
        </w:rPr>
        <w:t>章为试验中断及其处理，包括试验设备故障引起的中断、产品失效引起的中断、试验超差引起的中断；</w:t>
      </w:r>
    </w:p>
    <w:p w14:paraId="57C0FA8C" w14:textId="77777777" w:rsidR="00330F3D" w:rsidRPr="00EA0548" w:rsidRDefault="00000000">
      <w:pPr>
        <w:rPr>
          <w:rFonts w:cs="Times New Roman"/>
        </w:rPr>
      </w:pPr>
      <w:r w:rsidRPr="00EA0548">
        <w:rPr>
          <w:rFonts w:cs="Times New Roman"/>
        </w:rPr>
        <w:t>第</w:t>
      </w:r>
      <w:r w:rsidRPr="00EA0548">
        <w:rPr>
          <w:rFonts w:cs="Times New Roman" w:hint="eastAsia"/>
        </w:rPr>
        <w:t>9</w:t>
      </w:r>
      <w:r w:rsidRPr="00EA0548">
        <w:rPr>
          <w:rFonts w:cs="Times New Roman"/>
        </w:rPr>
        <w:t>章为试验结果，包括试验数据处理、试验判据；</w:t>
      </w:r>
    </w:p>
    <w:p w14:paraId="2158B922" w14:textId="77777777" w:rsidR="00330F3D" w:rsidRPr="00EA0548" w:rsidRDefault="00000000">
      <w:pPr>
        <w:rPr>
          <w:rFonts w:cs="Times New Roman"/>
        </w:rPr>
      </w:pPr>
      <w:r w:rsidRPr="00EA0548">
        <w:rPr>
          <w:rFonts w:cs="Times New Roman"/>
        </w:rPr>
        <w:t>第</w:t>
      </w:r>
      <w:r w:rsidRPr="00EA0548">
        <w:rPr>
          <w:rFonts w:cs="Times New Roman"/>
        </w:rPr>
        <w:t>1</w:t>
      </w:r>
      <w:r w:rsidRPr="00EA0548">
        <w:rPr>
          <w:rFonts w:cs="Times New Roman" w:hint="eastAsia"/>
        </w:rPr>
        <w:t>0</w:t>
      </w:r>
      <w:r w:rsidRPr="00EA0548">
        <w:rPr>
          <w:rFonts w:cs="Times New Roman"/>
        </w:rPr>
        <w:t>章为试验报告。</w:t>
      </w:r>
    </w:p>
    <w:p w14:paraId="63C312E2" w14:textId="77777777" w:rsidR="00330F3D" w:rsidRPr="00EA0548" w:rsidRDefault="00000000">
      <w:pPr>
        <w:rPr>
          <w:rFonts w:cs="Times New Roman"/>
          <w:color w:val="000000"/>
          <w:kern w:val="0"/>
          <w:szCs w:val="24"/>
        </w:rPr>
      </w:pPr>
      <w:r w:rsidRPr="00EA0548">
        <w:rPr>
          <w:rFonts w:cs="Times New Roman"/>
          <w:color w:val="000000"/>
          <w:kern w:val="0"/>
          <w:szCs w:val="24"/>
        </w:rPr>
        <w:t>最后一部分为资料性</w:t>
      </w:r>
      <w:r w:rsidRPr="00EA0548">
        <w:rPr>
          <w:rFonts w:cs="Times New Roman" w:hint="eastAsia"/>
          <w:color w:val="000000"/>
          <w:kern w:val="0"/>
          <w:szCs w:val="24"/>
        </w:rPr>
        <w:t>附录</w:t>
      </w:r>
      <w:r w:rsidRPr="00EA0548">
        <w:rPr>
          <w:rFonts w:cs="Times New Roman"/>
          <w:color w:val="000000"/>
          <w:kern w:val="0"/>
          <w:szCs w:val="24"/>
        </w:rPr>
        <w:t>，包括</w:t>
      </w:r>
      <w:r w:rsidRPr="00EA0548">
        <w:rPr>
          <w:rFonts w:cs="Times New Roman" w:hint="eastAsia"/>
          <w:color w:val="000000"/>
          <w:kern w:val="0"/>
          <w:szCs w:val="24"/>
        </w:rPr>
        <w:t>双台并激随机振动试验原</w:t>
      </w:r>
      <w:r w:rsidRPr="00EA0548">
        <w:rPr>
          <w:rFonts w:cs="Times New Roman"/>
        </w:rPr>
        <w:t>理、</w:t>
      </w:r>
      <w:r w:rsidRPr="00EA0548">
        <w:rPr>
          <w:rFonts w:cs="Times New Roman" w:hint="eastAsia"/>
        </w:rPr>
        <w:t>吊挂装置和保护装置设计方法</w:t>
      </w:r>
      <w:r w:rsidRPr="00EA0548">
        <w:rPr>
          <w:rFonts w:cs="Times New Roman"/>
        </w:rPr>
        <w:t>、</w:t>
      </w:r>
      <w:r w:rsidRPr="00EA0548">
        <w:rPr>
          <w:rFonts w:cs="Times New Roman" w:hint="eastAsia"/>
        </w:rPr>
        <w:t>常用计算公式</w:t>
      </w:r>
      <w:r w:rsidRPr="00EA0548">
        <w:rPr>
          <w:rFonts w:cs="Times New Roman"/>
          <w:color w:val="000000"/>
          <w:kern w:val="0"/>
          <w:szCs w:val="24"/>
        </w:rPr>
        <w:t>。</w:t>
      </w:r>
    </w:p>
    <w:p w14:paraId="4DB85785" w14:textId="77777777" w:rsidR="00330F3D" w:rsidRPr="00EA0548" w:rsidRDefault="00000000">
      <w:pPr>
        <w:pStyle w:val="1"/>
        <w:jc w:val="both"/>
        <w:rPr>
          <w:rFonts w:cs="Times New Roman"/>
        </w:rPr>
      </w:pPr>
      <w:bookmarkStart w:id="19" w:name="_Toc195030357"/>
      <w:r w:rsidRPr="00EA0548">
        <w:rPr>
          <w:rFonts w:cs="Times New Roman"/>
        </w:rPr>
        <w:lastRenderedPageBreak/>
        <w:t xml:space="preserve">3. </w:t>
      </w:r>
      <w:r w:rsidRPr="00EA0548">
        <w:rPr>
          <w:rFonts w:cs="Times New Roman"/>
        </w:rPr>
        <w:t>主要试验（或验证）的分析、综述报告，技术经济论证，预期的经济效果</w:t>
      </w:r>
      <w:bookmarkEnd w:id="19"/>
    </w:p>
    <w:p w14:paraId="340266FA" w14:textId="77777777" w:rsidR="00330F3D" w:rsidRPr="00EA0548" w:rsidRDefault="00000000">
      <w:pPr>
        <w:pStyle w:val="2"/>
        <w:rPr>
          <w:rFonts w:cs="Times New Roman"/>
        </w:rPr>
      </w:pPr>
      <w:bookmarkStart w:id="20" w:name="_Toc195030358"/>
      <w:r w:rsidRPr="00EA0548">
        <w:rPr>
          <w:rFonts w:cs="Times New Roman"/>
        </w:rPr>
        <w:t xml:space="preserve">3.1 </w:t>
      </w:r>
      <w:r w:rsidRPr="00EA0548">
        <w:rPr>
          <w:rFonts w:cs="Times New Roman"/>
        </w:rPr>
        <w:t>主要试验（或验证）分析</w:t>
      </w:r>
      <w:bookmarkEnd w:id="20"/>
    </w:p>
    <w:p w14:paraId="5B35609B" w14:textId="77777777" w:rsidR="00330F3D" w:rsidRPr="00EA0548" w:rsidRDefault="00000000">
      <w:pPr>
        <w:pStyle w:val="3"/>
        <w:rPr>
          <w:rStyle w:val="30"/>
          <w:b/>
        </w:rPr>
      </w:pPr>
      <w:r w:rsidRPr="00EA0548">
        <w:t xml:space="preserve">3.1.1 </w:t>
      </w:r>
      <w:r w:rsidRPr="00EA0548">
        <w:t>试验类型与标准</w:t>
      </w:r>
    </w:p>
    <w:p w14:paraId="29C807B5" w14:textId="77777777" w:rsidR="00330F3D" w:rsidRPr="00EA0548" w:rsidRDefault="00000000">
      <w:pPr>
        <w:rPr>
          <w:rStyle w:val="30"/>
          <w:rFonts w:cs="Times New Roman"/>
          <w:b w:val="0"/>
        </w:rPr>
      </w:pPr>
      <w:r w:rsidRPr="00EA0548">
        <w:rPr>
          <w:rStyle w:val="30"/>
          <w:rFonts w:cs="Times New Roman"/>
          <w:b w:val="0"/>
        </w:rPr>
        <w:t>智能石油勘探装备井下仪器振动试验需包含正弦振动（模拟周期性机械运动）和随机振动（模拟复杂井下环境），参考国际标准如</w:t>
      </w:r>
      <w:r w:rsidRPr="00EA0548">
        <w:rPr>
          <w:rStyle w:val="30"/>
          <w:rFonts w:cs="Times New Roman"/>
          <w:b w:val="0"/>
        </w:rPr>
        <w:t>IEC 60068-2-64</w:t>
      </w:r>
      <w:r w:rsidRPr="00EA0548">
        <w:rPr>
          <w:rStyle w:val="30"/>
          <w:rFonts w:cs="Times New Roman"/>
          <w:b w:val="0"/>
        </w:rPr>
        <w:t>和国内标准</w:t>
      </w:r>
      <w:r w:rsidRPr="00EA0548">
        <w:rPr>
          <w:rStyle w:val="30"/>
          <w:rFonts w:cs="Times New Roman"/>
          <w:b w:val="0"/>
        </w:rPr>
        <w:t>GB/T 2423</w:t>
      </w:r>
      <w:r w:rsidRPr="00EA0548">
        <w:rPr>
          <w:rStyle w:val="30"/>
          <w:rFonts w:cs="Times New Roman"/>
          <w:b w:val="0"/>
        </w:rPr>
        <w:t>系列。</w:t>
      </w:r>
    </w:p>
    <w:p w14:paraId="79DC65B8" w14:textId="77777777" w:rsidR="00330F3D" w:rsidRPr="00EA0548" w:rsidRDefault="00000000">
      <w:pPr>
        <w:rPr>
          <w:rStyle w:val="30"/>
          <w:rFonts w:cs="Times New Roman"/>
          <w:b w:val="0"/>
        </w:rPr>
      </w:pPr>
      <w:r w:rsidRPr="00EA0548">
        <w:rPr>
          <w:rStyle w:val="30"/>
          <w:rFonts w:cs="Times New Roman"/>
          <w:b w:val="0"/>
        </w:rPr>
        <w:t>正弦振动：验证仪器在特定频率下的共振点及耐疲劳性能。</w:t>
      </w:r>
    </w:p>
    <w:p w14:paraId="1737422D" w14:textId="77777777" w:rsidR="00330F3D" w:rsidRPr="00EA0548" w:rsidRDefault="00000000">
      <w:pPr>
        <w:rPr>
          <w:rStyle w:val="30"/>
          <w:rFonts w:cs="Times New Roman"/>
          <w:b w:val="0"/>
        </w:rPr>
      </w:pPr>
      <w:r w:rsidRPr="00EA0548">
        <w:rPr>
          <w:rStyle w:val="30"/>
          <w:rFonts w:cs="Times New Roman"/>
          <w:b w:val="0"/>
        </w:rPr>
        <w:t>随机振动：评估仪器在宽频带随机载荷下的可靠性，需覆盖井下常见振动频谱（如</w:t>
      </w:r>
      <w:r w:rsidRPr="00EA0548">
        <w:rPr>
          <w:rStyle w:val="30"/>
          <w:rFonts w:cs="Times New Roman" w:hint="eastAsia"/>
          <w:b w:val="0"/>
        </w:rPr>
        <w:t>2Hz</w:t>
      </w:r>
      <w:r w:rsidRPr="00EA0548">
        <w:rPr>
          <w:rStyle w:val="30"/>
          <w:rFonts w:cs="Times New Roman"/>
          <w:b w:val="0"/>
        </w:rPr>
        <w:t>-2000Hz</w:t>
      </w:r>
      <w:r w:rsidRPr="00EA0548">
        <w:rPr>
          <w:rStyle w:val="30"/>
          <w:rFonts w:cs="Times New Roman"/>
          <w:b w:val="0"/>
        </w:rPr>
        <w:t>）。</w:t>
      </w:r>
    </w:p>
    <w:p w14:paraId="3DF2756A" w14:textId="77777777" w:rsidR="00330F3D" w:rsidRPr="00EA0548" w:rsidRDefault="00000000">
      <w:pPr>
        <w:rPr>
          <w:rStyle w:val="30"/>
          <w:rFonts w:cs="Times New Roman"/>
          <w:b w:val="0"/>
        </w:rPr>
      </w:pPr>
      <w:r w:rsidRPr="00EA0548">
        <w:rPr>
          <w:rFonts w:cs="Times New Roman" w:hint="eastAsia"/>
        </w:rPr>
        <w:t>项目实施过程中，针对井下仪器整机轴向振动试验和</w:t>
      </w:r>
      <w:proofErr w:type="gramStart"/>
      <w:r w:rsidRPr="00EA0548">
        <w:rPr>
          <w:rFonts w:cs="Times New Roman" w:hint="eastAsia"/>
        </w:rPr>
        <w:t>径向双</w:t>
      </w:r>
      <w:proofErr w:type="gramEnd"/>
      <w:r w:rsidRPr="00EA0548">
        <w:rPr>
          <w:rFonts w:cs="Times New Roman" w:hint="eastAsia"/>
        </w:rPr>
        <w:t>台并激振动试验控制方式进行了验证，对各</w:t>
      </w:r>
      <w:proofErr w:type="gramStart"/>
      <w:r w:rsidRPr="00EA0548">
        <w:rPr>
          <w:rFonts w:cs="Times New Roman" w:hint="eastAsia"/>
        </w:rPr>
        <w:t>类控制</w:t>
      </w:r>
      <w:proofErr w:type="gramEnd"/>
      <w:r w:rsidRPr="00EA0548">
        <w:rPr>
          <w:rFonts w:cs="Times New Roman" w:hint="eastAsia"/>
        </w:rPr>
        <w:t>方式的响应均匀度和控制精度进行了分析验证。给出了各类型试验中控制方式和控制点的选取方法及原则，对试验程序的合理性和可行性进行了验证。</w:t>
      </w:r>
    </w:p>
    <w:p w14:paraId="198F3EC6" w14:textId="77777777" w:rsidR="00330F3D" w:rsidRPr="00EA0548" w:rsidRDefault="00000000">
      <w:pPr>
        <w:pStyle w:val="3"/>
        <w:rPr>
          <w:rStyle w:val="30"/>
          <w:bCs/>
        </w:rPr>
      </w:pPr>
      <w:r w:rsidRPr="00EA0548">
        <w:t xml:space="preserve">3.1.2 </w:t>
      </w:r>
      <w:r w:rsidRPr="00EA0548">
        <w:t>关键参数验证</w:t>
      </w:r>
    </w:p>
    <w:p w14:paraId="2767EE8C" w14:textId="5BF3867A" w:rsidR="00330F3D" w:rsidRPr="00EA0548" w:rsidRDefault="00000000">
      <w:pPr>
        <w:rPr>
          <w:rFonts w:cs="Times New Roman"/>
        </w:rPr>
      </w:pPr>
      <w:r w:rsidRPr="00EA0548">
        <w:rPr>
          <w:rFonts w:ascii="宋体" w:hAnsi="宋体" w:hint="eastAsia"/>
        </w:rPr>
        <w:t>中国科学院地质与地球物理研究所双台并激振动试验系统投入使用以来承担了大量的</w:t>
      </w:r>
      <w:proofErr w:type="gramStart"/>
      <w:r w:rsidRPr="00EA0548">
        <w:rPr>
          <w:rFonts w:hint="eastAsia"/>
        </w:rPr>
        <w:t>智能导钻等</w:t>
      </w:r>
      <w:proofErr w:type="gramEnd"/>
      <w:r w:rsidRPr="00EA0548">
        <w:rPr>
          <w:rFonts w:hint="eastAsia"/>
        </w:rPr>
        <w:t>石油勘探装备井下仪器的</w:t>
      </w:r>
      <w:r w:rsidRPr="00EA0548">
        <w:rPr>
          <w:rFonts w:ascii="宋体" w:hAnsi="宋体" w:hint="eastAsia"/>
        </w:rPr>
        <w:t>振动试验，大量的工程试验数据和经验为</w:t>
      </w:r>
      <w:r w:rsidR="003D52F7" w:rsidRPr="00EA0548">
        <w:rPr>
          <w:rFonts w:ascii="宋体" w:hAnsi="宋体" w:hint="eastAsia"/>
        </w:rPr>
        <w:t>本文件</w:t>
      </w:r>
      <w:r w:rsidRPr="00EA0548">
        <w:rPr>
          <w:rFonts w:ascii="宋体" w:hAnsi="宋体" w:hint="eastAsia"/>
        </w:rPr>
        <w:t>的编制提供了很好的基础，标准的技术参数与指标确定有较充分的基于工程实际的依据，对于如下关键参数进行了充分的验证。</w:t>
      </w:r>
    </w:p>
    <w:p w14:paraId="593748AD" w14:textId="77777777" w:rsidR="00330F3D" w:rsidRPr="00EA0548" w:rsidRDefault="00000000">
      <w:pPr>
        <w:rPr>
          <w:rFonts w:cs="Times New Roman"/>
        </w:rPr>
      </w:pPr>
      <w:r w:rsidRPr="00EA0548">
        <w:rPr>
          <w:rFonts w:cs="Times New Roman"/>
        </w:rPr>
        <w:t>振动幅值：根据井下实际工况设定加速度范围（如</w:t>
      </w:r>
      <w:r w:rsidRPr="00EA0548">
        <w:rPr>
          <w:rFonts w:cs="Times New Roman"/>
        </w:rPr>
        <w:t>10</w:t>
      </w:r>
      <w:r w:rsidRPr="00EA0548">
        <w:rPr>
          <w:rFonts w:cs="Times New Roman" w:hint="eastAsia"/>
        </w:rPr>
        <w:t>g</w:t>
      </w:r>
      <w:r w:rsidRPr="00EA0548">
        <w:rPr>
          <w:rFonts w:cs="Times New Roman"/>
        </w:rPr>
        <w:t>-20g</w:t>
      </w:r>
      <w:r w:rsidRPr="00EA0548">
        <w:rPr>
          <w:rFonts w:cs="Times New Roman"/>
        </w:rPr>
        <w:t>）。</w:t>
      </w:r>
    </w:p>
    <w:p w14:paraId="38EBEA31" w14:textId="77777777" w:rsidR="00330F3D" w:rsidRPr="00EA0548" w:rsidRDefault="00000000">
      <w:pPr>
        <w:rPr>
          <w:rStyle w:val="30"/>
          <w:rFonts w:cs="Times New Roman"/>
          <w:b w:val="0"/>
        </w:rPr>
      </w:pPr>
      <w:r w:rsidRPr="00EA0548">
        <w:rPr>
          <w:rFonts w:cs="Times New Roman" w:hint="eastAsia"/>
        </w:rPr>
        <w:t>振动频率范围：</w:t>
      </w:r>
      <w:r w:rsidRPr="00EA0548">
        <w:rPr>
          <w:rStyle w:val="30"/>
          <w:rFonts w:cs="Times New Roman" w:hint="eastAsia"/>
          <w:b w:val="0"/>
        </w:rPr>
        <w:t>2Hz</w:t>
      </w:r>
      <w:r w:rsidRPr="00EA0548">
        <w:rPr>
          <w:rStyle w:val="30"/>
          <w:rFonts w:cs="Times New Roman"/>
          <w:b w:val="0"/>
        </w:rPr>
        <w:t>-2000Hz</w:t>
      </w:r>
      <w:r w:rsidRPr="00EA0548">
        <w:rPr>
          <w:rStyle w:val="30"/>
          <w:rFonts w:cs="Times New Roman" w:hint="eastAsia"/>
          <w:b w:val="0"/>
        </w:rPr>
        <w:t>。</w:t>
      </w:r>
    </w:p>
    <w:p w14:paraId="4D842F5E" w14:textId="77777777" w:rsidR="00330F3D" w:rsidRPr="00EA0548" w:rsidRDefault="00000000">
      <w:pPr>
        <w:rPr>
          <w:rFonts w:cs="Times New Roman"/>
        </w:rPr>
      </w:pPr>
      <w:r w:rsidRPr="00EA0548">
        <w:rPr>
          <w:rStyle w:val="30"/>
          <w:rFonts w:cs="Times New Roman" w:hint="eastAsia"/>
          <w:b w:val="0"/>
        </w:rPr>
        <w:t>允差：对随机振动和正弦振动允差验证，针对双台方阵控制，分析验证了其各个不同频段内、不同控制方式和试验项目中的允差要求。</w:t>
      </w:r>
    </w:p>
    <w:p w14:paraId="631A139F" w14:textId="77777777" w:rsidR="00330F3D" w:rsidRPr="00EA0548" w:rsidRDefault="00000000">
      <w:pPr>
        <w:rPr>
          <w:rFonts w:cs="Times New Roman"/>
        </w:rPr>
      </w:pPr>
      <w:r w:rsidRPr="00EA0548">
        <w:rPr>
          <w:rFonts w:cs="Times New Roman"/>
        </w:rPr>
        <w:t>持续时间：模拟不同作业阶段（钻井、完井）的累积振动影响，通常需连续测试数小时至数十小时。</w:t>
      </w:r>
    </w:p>
    <w:p w14:paraId="7A6F98DE" w14:textId="77777777" w:rsidR="00330F3D" w:rsidRPr="00EA0548" w:rsidRDefault="00000000">
      <w:r w:rsidRPr="00EA0548">
        <w:rPr>
          <w:rFonts w:cs="Times New Roman"/>
        </w:rPr>
        <w:t>环境适应性：</w:t>
      </w:r>
      <w:r w:rsidRPr="00EA0548">
        <w:rPr>
          <w:rFonts w:cs="Times New Roman" w:hint="eastAsia"/>
        </w:rPr>
        <w:t>通过在轴向和径向施加高量级振动</w:t>
      </w:r>
      <w:r w:rsidRPr="00EA0548">
        <w:rPr>
          <w:rFonts w:cs="Times New Roman"/>
        </w:rPr>
        <w:t>以模拟井下</w:t>
      </w:r>
      <w:r w:rsidRPr="00EA0548">
        <w:rPr>
          <w:rFonts w:cs="Times New Roman" w:hint="eastAsia"/>
        </w:rPr>
        <w:t>强振动工作</w:t>
      </w:r>
      <w:r w:rsidRPr="00EA0548">
        <w:rPr>
          <w:rFonts w:cs="Times New Roman"/>
        </w:rPr>
        <w:t>条件。</w:t>
      </w:r>
    </w:p>
    <w:p w14:paraId="2648823F" w14:textId="77777777" w:rsidR="00330F3D" w:rsidRPr="00EA0548" w:rsidRDefault="00000000">
      <w:pPr>
        <w:pStyle w:val="3"/>
        <w:rPr>
          <w:rStyle w:val="30"/>
          <w:bCs/>
        </w:rPr>
      </w:pPr>
      <w:r w:rsidRPr="00EA0548">
        <w:lastRenderedPageBreak/>
        <w:t xml:space="preserve">3.1.3 </w:t>
      </w:r>
      <w:r w:rsidRPr="00EA0548">
        <w:t>设备与监测要求</w:t>
      </w:r>
    </w:p>
    <w:p w14:paraId="46B97FA1" w14:textId="77777777" w:rsidR="00330F3D" w:rsidRPr="00EA0548" w:rsidRDefault="00000000">
      <w:pPr>
        <w:rPr>
          <w:rStyle w:val="30"/>
          <w:rFonts w:cs="Times New Roman"/>
          <w:b w:val="0"/>
        </w:rPr>
      </w:pPr>
      <w:r w:rsidRPr="00EA0548">
        <w:rPr>
          <w:rStyle w:val="30"/>
          <w:rFonts w:cs="Times New Roman"/>
          <w:b w:val="0"/>
        </w:rPr>
        <w:t>采用高精度加速度传感器和动态信号分析仪，实时监测振动响应曲线、频率特性及波形畸变。</w:t>
      </w:r>
    </w:p>
    <w:p w14:paraId="55622E09" w14:textId="77777777" w:rsidR="00330F3D" w:rsidRPr="00EA0548" w:rsidRDefault="00000000">
      <w:pPr>
        <w:rPr>
          <w:rStyle w:val="30"/>
          <w:rFonts w:cs="Times New Roman"/>
          <w:b w:val="0"/>
        </w:rPr>
      </w:pPr>
      <w:r w:rsidRPr="00EA0548">
        <w:rPr>
          <w:rStyle w:val="30"/>
          <w:rFonts w:cs="Times New Roman"/>
          <w:b w:val="0"/>
        </w:rPr>
        <w:t>需验证双台同步控制技术，确保振动台协同工作精度（如相位差</w:t>
      </w:r>
      <w:r w:rsidRPr="00EA0548">
        <w:rPr>
          <w:rStyle w:val="30"/>
          <w:rFonts w:cs="Times New Roman"/>
          <w:b w:val="0"/>
        </w:rPr>
        <w:t>≤5%</w:t>
      </w:r>
      <w:r w:rsidRPr="00EA0548">
        <w:rPr>
          <w:rStyle w:val="30"/>
          <w:rFonts w:cs="Times New Roman"/>
          <w:b w:val="0"/>
        </w:rPr>
        <w:t>）。</w:t>
      </w:r>
    </w:p>
    <w:p w14:paraId="328CF459" w14:textId="77777777" w:rsidR="00330F3D" w:rsidRPr="00EA0548" w:rsidRDefault="00000000">
      <w:pPr>
        <w:pStyle w:val="2"/>
        <w:rPr>
          <w:rFonts w:cs="Times New Roman"/>
        </w:rPr>
      </w:pPr>
      <w:bookmarkStart w:id="21" w:name="_Toc195030359"/>
      <w:r w:rsidRPr="00EA0548">
        <w:rPr>
          <w:rFonts w:cs="Times New Roman"/>
        </w:rPr>
        <w:t xml:space="preserve">3.2 </w:t>
      </w:r>
      <w:r w:rsidRPr="00EA0548">
        <w:rPr>
          <w:rFonts w:cs="Times New Roman"/>
        </w:rPr>
        <w:t>综述报告</w:t>
      </w:r>
      <w:bookmarkEnd w:id="21"/>
    </w:p>
    <w:p w14:paraId="6486D571" w14:textId="09A4BF4A" w:rsidR="00330F3D" w:rsidRPr="00EA0548" w:rsidRDefault="00000000">
      <w:pPr>
        <w:pStyle w:val="21"/>
        <w:spacing w:line="360" w:lineRule="auto"/>
        <w:ind w:leftChars="0" w:left="0" w:firstLineChars="200" w:firstLine="480"/>
      </w:pPr>
      <w:r w:rsidRPr="00EA0548">
        <w:rPr>
          <w:rFonts w:ascii="宋体" w:hAnsi="宋体" w:hint="eastAsia"/>
          <w:sz w:val="24"/>
        </w:rPr>
        <w:t>本</w:t>
      </w:r>
      <w:r w:rsidR="003D52F7" w:rsidRPr="00EA0548">
        <w:rPr>
          <w:rFonts w:ascii="宋体" w:hAnsi="宋体" w:hint="eastAsia"/>
          <w:sz w:val="24"/>
        </w:rPr>
        <w:t>文件</w:t>
      </w:r>
      <w:r w:rsidRPr="00EA0548">
        <w:rPr>
          <w:rFonts w:ascii="宋体" w:hAnsi="宋体" w:hint="eastAsia"/>
          <w:sz w:val="24"/>
        </w:rPr>
        <w:t>主要根据</w:t>
      </w:r>
      <w:r w:rsidRPr="00EA0548">
        <w:rPr>
          <w:rFonts w:hint="eastAsia"/>
          <w:sz w:val="24"/>
        </w:rPr>
        <w:t>石油勘探装备井下仪器长径比</w:t>
      </w:r>
      <w:r w:rsidRPr="00EA0548">
        <w:rPr>
          <w:rFonts w:ascii="宋体" w:hAnsi="宋体" w:hint="eastAsia"/>
          <w:sz w:val="24"/>
        </w:rPr>
        <w:t>的特点，同时参考国标、国军标、石油行业标准和航天行业标准中近似标准，结合中国科学院地质与地球物理研究所的试验经验，综合考虑石油领域企事业单位的实际情况和反馈意见，确定技术参数和指标。在</w:t>
      </w:r>
      <w:r w:rsidR="003D52F7" w:rsidRPr="00EA0548">
        <w:rPr>
          <w:rFonts w:ascii="宋体" w:hAnsi="宋体" w:hint="eastAsia"/>
          <w:sz w:val="24"/>
        </w:rPr>
        <w:t>本文件</w:t>
      </w:r>
      <w:r w:rsidRPr="00EA0548">
        <w:rPr>
          <w:rFonts w:ascii="宋体" w:hAnsi="宋体" w:hint="eastAsia"/>
          <w:sz w:val="24"/>
        </w:rPr>
        <w:t>的技术参数与指标参数确定时，考虑标准的通用性和可供剪裁性，关于振动试验控制参数类型、控制方法以及控制容差等技术问题，通过调研和各阶段评审会，在广泛征求各单位和专家的意见基础上确定技术指标。</w:t>
      </w:r>
    </w:p>
    <w:p w14:paraId="23B74B76" w14:textId="77777777" w:rsidR="00330F3D" w:rsidRPr="00EA0548" w:rsidRDefault="00000000">
      <w:pPr>
        <w:rPr>
          <w:rFonts w:cs="Times New Roman"/>
        </w:rPr>
      </w:pPr>
      <w:r w:rsidRPr="00EA0548">
        <w:rPr>
          <w:rFonts w:cs="Times New Roman"/>
        </w:rPr>
        <w:t>试验数据汇总：整理振动试验中的关键参数（如频率响应、位移幅值、加速度等）。</w:t>
      </w:r>
    </w:p>
    <w:p w14:paraId="49D6A790" w14:textId="77777777" w:rsidR="00330F3D" w:rsidRPr="00EA0548" w:rsidRDefault="00000000">
      <w:pPr>
        <w:rPr>
          <w:rFonts w:cs="Times New Roman"/>
        </w:rPr>
      </w:pPr>
      <w:r w:rsidRPr="00EA0548">
        <w:rPr>
          <w:rFonts w:cs="Times New Roman"/>
        </w:rPr>
        <w:t>失效模式分析：总结智能石油勘探装备井下仪器在振动试验中出现的故障类型及原因。</w:t>
      </w:r>
    </w:p>
    <w:p w14:paraId="4AE713E8" w14:textId="77777777" w:rsidR="00330F3D" w:rsidRPr="00EA0548" w:rsidRDefault="00000000">
      <w:pPr>
        <w:rPr>
          <w:rFonts w:cs="Times New Roman"/>
        </w:rPr>
      </w:pPr>
      <w:r w:rsidRPr="00EA0548">
        <w:rPr>
          <w:rFonts w:cs="Times New Roman"/>
        </w:rPr>
        <w:t>改进建议：提出试验设计优化方案（如工装夹具结构、材料升级等）。</w:t>
      </w:r>
    </w:p>
    <w:p w14:paraId="1DF387E5" w14:textId="77777777" w:rsidR="00330F3D" w:rsidRPr="00EA0548" w:rsidRDefault="00000000">
      <w:pPr>
        <w:pStyle w:val="2"/>
        <w:rPr>
          <w:rFonts w:cs="Times New Roman"/>
        </w:rPr>
      </w:pPr>
      <w:bookmarkStart w:id="22" w:name="_Toc195030360"/>
      <w:r w:rsidRPr="00EA0548">
        <w:rPr>
          <w:rFonts w:cs="Times New Roman"/>
        </w:rPr>
        <w:t xml:space="preserve">3.3 </w:t>
      </w:r>
      <w:r w:rsidRPr="00EA0548">
        <w:rPr>
          <w:rFonts w:cs="Times New Roman"/>
        </w:rPr>
        <w:t>技术经济论证</w:t>
      </w:r>
      <w:bookmarkEnd w:id="22"/>
    </w:p>
    <w:p w14:paraId="22B12327" w14:textId="77777777" w:rsidR="00330F3D" w:rsidRPr="00EA0548" w:rsidRDefault="00000000">
      <w:pPr>
        <w:pStyle w:val="3"/>
      </w:pPr>
      <w:r w:rsidRPr="00EA0548">
        <w:rPr>
          <w:rStyle w:val="30"/>
          <w:bCs/>
        </w:rPr>
        <w:t>3.3.1</w:t>
      </w:r>
      <w:r w:rsidRPr="00EA0548">
        <w:rPr>
          <w:rStyle w:val="30"/>
        </w:rPr>
        <w:t xml:space="preserve"> </w:t>
      </w:r>
      <w:r w:rsidRPr="00EA0548">
        <w:t>技术可行性</w:t>
      </w:r>
    </w:p>
    <w:p w14:paraId="009E432C" w14:textId="26284A9F" w:rsidR="00330F3D" w:rsidRPr="00EA0548" w:rsidRDefault="00000000">
      <w:bookmarkStart w:id="23" w:name="_Hlk195031203"/>
      <w:r w:rsidRPr="00EA0548">
        <w:rPr>
          <w:rFonts w:hint="eastAsia"/>
        </w:rPr>
        <w:t>多轴振动试验已在汽车、航天领域应用逐步推广应用，国外</w:t>
      </w:r>
      <w:r w:rsidRPr="00EA0548">
        <w:rPr>
          <w:rFonts w:hint="eastAsia"/>
        </w:rPr>
        <w:t>NASA</w:t>
      </w:r>
      <w:r w:rsidRPr="00EA0548">
        <w:rPr>
          <w:rFonts w:hint="eastAsia"/>
        </w:rPr>
        <w:t>和</w:t>
      </w:r>
      <w:r w:rsidRPr="00EA0548">
        <w:rPr>
          <w:rFonts w:hint="eastAsia"/>
        </w:rPr>
        <w:t>JAXA</w:t>
      </w:r>
      <w:r w:rsidRPr="00EA0548">
        <w:rPr>
          <w:rFonts w:hint="eastAsia"/>
        </w:rPr>
        <w:t>的六自由度振动台系统已验证航天器级多轴环境模拟能力。国内航天</w:t>
      </w:r>
      <w:r w:rsidRPr="00EA0548">
        <w:rPr>
          <w:rFonts w:hint="eastAsia"/>
        </w:rPr>
        <w:t>702</w:t>
      </w:r>
      <w:r w:rsidRPr="00EA0548">
        <w:rPr>
          <w:rFonts w:hint="eastAsia"/>
        </w:rPr>
        <w:t>所、航天二院等针对火箭导弹等飞行器开展了双台并激振动试验，航天</w:t>
      </w:r>
      <w:r w:rsidRPr="00EA0548">
        <w:rPr>
          <w:rFonts w:hint="eastAsia"/>
        </w:rPr>
        <w:t>511</w:t>
      </w:r>
      <w:r w:rsidRPr="00EA0548">
        <w:rPr>
          <w:rFonts w:hint="eastAsia"/>
        </w:rPr>
        <w:t>所通过多个振动台联合共同推动大台面的方式开展大质量卫星振动试验。多台多轴控制方面，国外</w:t>
      </w:r>
      <w:r w:rsidRPr="00EA0548">
        <w:rPr>
          <w:rFonts w:hint="eastAsia"/>
        </w:rPr>
        <w:t>DP</w:t>
      </w:r>
      <w:r w:rsidRPr="00EA0548">
        <w:rPr>
          <w:rFonts w:hint="eastAsia"/>
        </w:rPr>
        <w:t>公司、</w:t>
      </w:r>
      <w:r w:rsidRPr="00EA0548">
        <w:rPr>
          <w:rFonts w:hint="eastAsia"/>
        </w:rPr>
        <w:t>SD</w:t>
      </w:r>
      <w:r w:rsidRPr="00EA0548">
        <w:rPr>
          <w:rFonts w:hint="eastAsia"/>
        </w:rPr>
        <w:t>公司和</w:t>
      </w:r>
      <w:r w:rsidRPr="00EA0548">
        <w:rPr>
          <w:rFonts w:hint="eastAsia"/>
        </w:rPr>
        <w:t>M+P</w:t>
      </w:r>
      <w:r w:rsidRPr="00EA0548">
        <w:rPr>
          <w:rFonts w:hint="eastAsia"/>
        </w:rPr>
        <w:t>公司等均研制了相应的多台多轴控制仪，国内部分航天单位有引进和应用案例。</w:t>
      </w:r>
      <w:r w:rsidRPr="00EA0548">
        <w:rPr>
          <w:rFonts w:cs="Times New Roman"/>
        </w:rPr>
        <w:t>国产化</w:t>
      </w:r>
      <w:r w:rsidRPr="00EA0548">
        <w:rPr>
          <w:rFonts w:cs="Times New Roman" w:hint="eastAsia"/>
        </w:rPr>
        <w:t>振动试验</w:t>
      </w:r>
      <w:r w:rsidRPr="00EA0548">
        <w:rPr>
          <w:rFonts w:cs="Times New Roman"/>
        </w:rPr>
        <w:t>设备</w:t>
      </w:r>
      <w:r w:rsidRPr="00EA0548">
        <w:rPr>
          <w:rFonts w:cs="Times New Roman" w:hint="eastAsia"/>
        </w:rPr>
        <w:t>也取得</w:t>
      </w:r>
      <w:r w:rsidRPr="00EA0548">
        <w:rPr>
          <w:rFonts w:cs="Times New Roman"/>
        </w:rPr>
        <w:t>突破</w:t>
      </w:r>
      <w:r w:rsidRPr="00EA0548">
        <w:rPr>
          <w:rFonts w:cs="Times New Roman" w:hint="eastAsia"/>
        </w:rPr>
        <w:t>，</w:t>
      </w:r>
      <w:r w:rsidRPr="00EA0548">
        <w:rPr>
          <w:rFonts w:cs="Times New Roman"/>
        </w:rPr>
        <w:t>如苏州苏试试验集团股份有限公司能够生产最大推力</w:t>
      </w:r>
      <w:r w:rsidRPr="00EA0548">
        <w:rPr>
          <w:rFonts w:cs="Times New Roman"/>
        </w:rPr>
        <w:t>60</w:t>
      </w:r>
      <w:r w:rsidRPr="00EA0548">
        <w:rPr>
          <w:rFonts w:cs="Times New Roman"/>
        </w:rPr>
        <w:t>吨电动振动台，并为国内石油装备、航空航天装备振动试验提供双台并激振动试验系统</w:t>
      </w:r>
      <w:r w:rsidRPr="00EA0548">
        <w:rPr>
          <w:rFonts w:cs="Times New Roman"/>
        </w:rPr>
        <w:t>10</w:t>
      </w:r>
      <w:r w:rsidRPr="00EA0548">
        <w:rPr>
          <w:rFonts w:cs="Times New Roman"/>
        </w:rPr>
        <w:t>余套</w:t>
      </w:r>
      <w:r w:rsidRPr="00EA0548">
        <w:rPr>
          <w:rFonts w:cs="Times New Roman" w:hint="eastAsia"/>
        </w:rPr>
        <w:t>，为本</w:t>
      </w:r>
      <w:r w:rsidR="003D52F7" w:rsidRPr="00EA0548">
        <w:rPr>
          <w:rFonts w:cs="Times New Roman" w:hint="eastAsia"/>
        </w:rPr>
        <w:t>文件</w:t>
      </w:r>
      <w:r w:rsidRPr="00EA0548">
        <w:rPr>
          <w:rFonts w:cs="Times New Roman" w:hint="eastAsia"/>
        </w:rPr>
        <w:t>的实施提供了硬件基础</w:t>
      </w:r>
      <w:r w:rsidRPr="00EA0548">
        <w:rPr>
          <w:rFonts w:cs="Times New Roman"/>
        </w:rPr>
        <w:t>。</w:t>
      </w:r>
      <w:r w:rsidRPr="00EA0548">
        <w:rPr>
          <w:rFonts w:hint="eastAsia"/>
        </w:rPr>
        <w:t>借鉴此类技术，针对石油勘探装备需求，通过整合现有成熟技术</w:t>
      </w:r>
      <w:r w:rsidRPr="00EA0548">
        <w:rPr>
          <w:rFonts w:hint="eastAsia"/>
        </w:rPr>
        <w:lastRenderedPageBreak/>
        <w:t>并与针对油行业仪器设备特点进行优化，</w:t>
      </w:r>
      <w:r w:rsidRPr="00EA0548">
        <w:rPr>
          <w:rFonts w:cs="Times New Roman"/>
        </w:rPr>
        <w:t>中国科学院地质与地球物理研究所</w:t>
      </w:r>
      <w:r w:rsidRPr="00EA0548">
        <w:rPr>
          <w:rFonts w:cs="Times New Roman" w:hint="eastAsia"/>
        </w:rPr>
        <w:t>结合智能导钻装备研制，开展了大量的系统级（单双台振动）和设备级振动试验。</w:t>
      </w:r>
      <w:bookmarkEnd w:id="23"/>
      <w:r w:rsidRPr="00EA0548">
        <w:rPr>
          <w:rFonts w:cs="Times New Roman" w:hint="eastAsia"/>
        </w:rPr>
        <w:t>在</w:t>
      </w:r>
      <w:bookmarkStart w:id="24" w:name="_Hlk195031236"/>
      <w:r w:rsidRPr="00EA0548">
        <w:rPr>
          <w:rFonts w:cs="Times New Roman"/>
        </w:rPr>
        <w:t>数据驱动优化</w:t>
      </w:r>
      <w:r w:rsidRPr="00EA0548">
        <w:rPr>
          <w:rFonts w:cs="Times New Roman" w:hint="eastAsia"/>
        </w:rPr>
        <w:t>方面</w:t>
      </w:r>
      <w:r w:rsidRPr="00EA0548">
        <w:rPr>
          <w:rFonts w:cs="Times New Roman"/>
        </w:rPr>
        <w:t>通过振动响应分析优化仪器结构设计，降低</w:t>
      </w:r>
      <w:r w:rsidRPr="00EA0548">
        <w:rPr>
          <w:rFonts w:cs="Times New Roman" w:hint="eastAsia"/>
        </w:rPr>
        <w:t>智能导钻装备井下工作的</w:t>
      </w:r>
      <w:r w:rsidRPr="00EA0548">
        <w:rPr>
          <w:rFonts w:cs="Times New Roman"/>
        </w:rPr>
        <w:t>故障率（如减少电气失效率</w:t>
      </w:r>
      <w:r w:rsidRPr="00EA0548">
        <w:rPr>
          <w:rFonts w:cs="Times New Roman"/>
        </w:rPr>
        <w:t>30%</w:t>
      </w:r>
      <w:r w:rsidRPr="00EA0548">
        <w:rPr>
          <w:rFonts w:cs="Times New Roman"/>
        </w:rPr>
        <w:t>）</w:t>
      </w:r>
      <w:bookmarkEnd w:id="24"/>
      <w:r w:rsidRPr="00EA0548">
        <w:rPr>
          <w:rFonts w:cs="Times New Roman" w:hint="eastAsia"/>
        </w:rPr>
        <w:t>。</w:t>
      </w:r>
      <w:r w:rsidRPr="00EA0548">
        <w:rPr>
          <w:rFonts w:hint="eastAsia"/>
        </w:rPr>
        <w:t>本</w:t>
      </w:r>
      <w:r w:rsidR="003D52F7" w:rsidRPr="00EA0548">
        <w:rPr>
          <w:rFonts w:hint="eastAsia"/>
        </w:rPr>
        <w:t>文件</w:t>
      </w:r>
      <w:r w:rsidRPr="00EA0548">
        <w:rPr>
          <w:rFonts w:hint="eastAsia"/>
        </w:rPr>
        <w:t>的制定满足国际标准（如</w:t>
      </w:r>
      <w:r w:rsidRPr="00EA0548">
        <w:rPr>
          <w:rFonts w:hint="eastAsia"/>
        </w:rPr>
        <w:t>ISO 10816</w:t>
      </w:r>
      <w:r w:rsidRPr="00EA0548">
        <w:rPr>
          <w:rFonts w:hint="eastAsia"/>
        </w:rPr>
        <w:t>、</w:t>
      </w:r>
      <w:r w:rsidRPr="00EA0548">
        <w:rPr>
          <w:rFonts w:hint="eastAsia"/>
        </w:rPr>
        <w:t>API 6A</w:t>
      </w:r>
      <w:r w:rsidRPr="00EA0548">
        <w:rPr>
          <w:rFonts w:hint="eastAsia"/>
        </w:rPr>
        <w:t>）或行业规范。</w:t>
      </w:r>
      <w:r w:rsidRPr="00EA0548">
        <w:rPr>
          <w:rFonts w:cs="Times New Roman" w:hint="eastAsia"/>
        </w:rPr>
        <w:t>综上所述，</w:t>
      </w:r>
      <w:r w:rsidRPr="00EA0548">
        <w:rPr>
          <w:rFonts w:hint="eastAsia"/>
        </w:rPr>
        <w:t>石油勘探井下仪器振动试验</w:t>
      </w:r>
      <w:r w:rsidR="001D5311" w:rsidRPr="00EA0548">
        <w:rPr>
          <w:rFonts w:hint="eastAsia"/>
        </w:rPr>
        <w:t>方法</w:t>
      </w:r>
      <w:r w:rsidRPr="00EA0548">
        <w:rPr>
          <w:rFonts w:hint="eastAsia"/>
        </w:rPr>
        <w:t>具备技术落地条件。</w:t>
      </w:r>
    </w:p>
    <w:p w14:paraId="5283A4B5" w14:textId="77777777" w:rsidR="00330F3D" w:rsidRPr="00EA0548" w:rsidRDefault="00000000">
      <w:pPr>
        <w:pStyle w:val="3"/>
      </w:pPr>
      <w:r w:rsidRPr="00EA0548">
        <w:rPr>
          <w:rStyle w:val="30"/>
          <w:bCs/>
        </w:rPr>
        <w:t xml:space="preserve">3.3.2 </w:t>
      </w:r>
      <w:r w:rsidRPr="00EA0548">
        <w:t>经济效益分析</w:t>
      </w:r>
    </w:p>
    <w:p w14:paraId="1F5296AA" w14:textId="51E1EA34" w:rsidR="00330F3D" w:rsidRPr="00EA0548" w:rsidRDefault="00000000">
      <w:pPr>
        <w:rPr>
          <w:rFonts w:cs="Times New Roman"/>
        </w:rPr>
      </w:pPr>
      <w:bookmarkStart w:id="25" w:name="OLE_LINK3"/>
      <w:r w:rsidRPr="00EA0548">
        <w:rPr>
          <w:rFonts w:cs="Times New Roman" w:hint="eastAsia"/>
        </w:rPr>
        <w:t>编制多台多轴振动试验</w:t>
      </w:r>
      <w:r w:rsidR="001D5311" w:rsidRPr="00EA0548">
        <w:rPr>
          <w:rFonts w:cs="Times New Roman" w:hint="eastAsia"/>
        </w:rPr>
        <w:t>方法</w:t>
      </w:r>
      <w:r w:rsidRPr="00EA0548">
        <w:rPr>
          <w:rFonts w:cs="Times New Roman" w:hint="eastAsia"/>
        </w:rPr>
        <w:t>将显著提升石油行业设备可靠性，在如下几个方面体现经济效益。</w:t>
      </w:r>
    </w:p>
    <w:p w14:paraId="3E6AADB5" w14:textId="77777777" w:rsidR="00330F3D" w:rsidRPr="00EA0548" w:rsidRDefault="00000000">
      <w:pPr>
        <w:rPr>
          <w:rFonts w:cs="Times New Roman"/>
        </w:rPr>
      </w:pPr>
      <w:r w:rsidRPr="00EA0548">
        <w:rPr>
          <w:rFonts w:cs="Times New Roman"/>
        </w:rPr>
        <w:t>研发成本：硬件条件初期需投入双台并激振动试验设备（约</w:t>
      </w:r>
      <w:r w:rsidRPr="00EA0548">
        <w:rPr>
          <w:rFonts w:cs="Times New Roman"/>
        </w:rPr>
        <w:t>300-500</w:t>
      </w:r>
      <w:r w:rsidRPr="00EA0548">
        <w:rPr>
          <w:rFonts w:cs="Times New Roman"/>
        </w:rPr>
        <w:t>万元</w:t>
      </w:r>
      <w:r w:rsidRPr="00EA0548">
        <w:rPr>
          <w:rFonts w:cs="Times New Roman"/>
        </w:rPr>
        <w:t>/</w:t>
      </w:r>
      <w:r w:rsidRPr="00EA0548">
        <w:rPr>
          <w:rFonts w:cs="Times New Roman"/>
        </w:rPr>
        <w:t>套）及控制系统开发费用，但长期可降低外购技术依赖。振动试验条件制定，需要进行井下环境实际数据采集（平均每口实井测试费用约</w:t>
      </w:r>
      <w:r w:rsidRPr="00EA0548">
        <w:rPr>
          <w:rFonts w:cs="Times New Roman"/>
        </w:rPr>
        <w:t>20</w:t>
      </w:r>
      <w:r w:rsidRPr="00EA0548">
        <w:rPr>
          <w:rFonts w:cs="Times New Roman"/>
        </w:rPr>
        <w:t>万元），并建立数据模型。</w:t>
      </w:r>
    </w:p>
    <w:bookmarkEnd w:id="25"/>
    <w:p w14:paraId="1D96CA34" w14:textId="77777777" w:rsidR="00330F3D" w:rsidRPr="00EA0548" w:rsidRDefault="00000000">
      <w:pPr>
        <w:rPr>
          <w:rFonts w:cs="Times New Roman"/>
        </w:rPr>
      </w:pPr>
      <w:r w:rsidRPr="00EA0548">
        <w:rPr>
          <w:rFonts w:cs="Times New Roman" w:hint="eastAsia"/>
        </w:rPr>
        <w:t>可靠性升级：通过实现传统单轴</w:t>
      </w:r>
      <w:proofErr w:type="gramStart"/>
      <w:r w:rsidRPr="00EA0548">
        <w:rPr>
          <w:rFonts w:cs="Times New Roman" w:hint="eastAsia"/>
        </w:rPr>
        <w:t>试验因</w:t>
      </w:r>
      <w:proofErr w:type="gramEnd"/>
      <w:r w:rsidRPr="00EA0548">
        <w:rPr>
          <w:rFonts w:cs="Times New Roman" w:hint="eastAsia"/>
        </w:rPr>
        <w:t>无法模拟多向应力叠加，更真实的模拟井下勘探振动环境，在研制初期提前有效激发仪器故障，可提前识别潜在失效模式，为仪器设备设计提供支撑，实现可靠性的迭代升级，降低研发费用</w:t>
      </w:r>
    </w:p>
    <w:p w14:paraId="3CD7F160" w14:textId="77777777" w:rsidR="00330F3D" w:rsidRPr="00EA0548" w:rsidRDefault="00000000">
      <w:pPr>
        <w:rPr>
          <w:rFonts w:cs="Times New Roman"/>
        </w:rPr>
      </w:pPr>
      <w:r w:rsidRPr="00EA0548">
        <w:rPr>
          <w:rFonts w:cs="Times New Roman" w:hint="eastAsia"/>
        </w:rPr>
        <w:t>安全效益：井下仪器在验收或下井前，提前发现潜在故障，减少因设备故障导致的停产损失和安全风险</w:t>
      </w:r>
    </w:p>
    <w:p w14:paraId="4353CA77" w14:textId="77777777" w:rsidR="00330F3D" w:rsidRPr="00EA0548" w:rsidRDefault="00000000">
      <w:pPr>
        <w:rPr>
          <w:rFonts w:cs="Times New Roman"/>
        </w:rPr>
      </w:pPr>
      <w:r w:rsidRPr="00EA0548">
        <w:rPr>
          <w:rFonts w:cs="Times New Roman" w:hint="eastAsia"/>
        </w:rPr>
        <w:t>维护成本：通过更为精确的振动环境模拟，优化结构设计，延长设备寿命，降低维护成本，</w:t>
      </w:r>
      <w:r w:rsidRPr="00EA0548">
        <w:rPr>
          <w:rFonts w:cs="Times New Roman"/>
        </w:rPr>
        <w:t>减少现场维修费用和井下故障率</w:t>
      </w:r>
    </w:p>
    <w:p w14:paraId="008B01DD" w14:textId="77777777" w:rsidR="00330F3D" w:rsidRPr="00EA0548" w:rsidRDefault="00000000">
      <w:pPr>
        <w:rPr>
          <w:rFonts w:cs="Times New Roman"/>
        </w:rPr>
      </w:pPr>
      <w:r w:rsidRPr="00EA0548">
        <w:rPr>
          <w:rFonts w:cs="Times New Roman" w:hint="eastAsia"/>
        </w:rPr>
        <w:t>提供服务：为石油行业井下仪器提供高端环境适应性与可靠性测试服务，实现创效。</w:t>
      </w:r>
    </w:p>
    <w:p w14:paraId="6FD32B76" w14:textId="77777777" w:rsidR="00330F3D" w:rsidRPr="00EA0548" w:rsidRDefault="00000000">
      <w:pPr>
        <w:pStyle w:val="2"/>
        <w:rPr>
          <w:rFonts w:cs="Times New Roman"/>
        </w:rPr>
      </w:pPr>
      <w:bookmarkStart w:id="26" w:name="_Toc195030361"/>
      <w:r w:rsidRPr="00EA0548">
        <w:rPr>
          <w:rFonts w:cs="Times New Roman"/>
        </w:rPr>
        <w:t xml:space="preserve">3.4 </w:t>
      </w:r>
      <w:r w:rsidRPr="00EA0548">
        <w:rPr>
          <w:rFonts w:cs="Times New Roman"/>
        </w:rPr>
        <w:t>预期经济效果</w:t>
      </w:r>
      <w:bookmarkEnd w:id="26"/>
    </w:p>
    <w:p w14:paraId="13374635" w14:textId="77777777" w:rsidR="00330F3D" w:rsidRPr="00EA0548" w:rsidRDefault="00000000">
      <w:pPr>
        <w:pStyle w:val="3"/>
        <w:rPr>
          <w:rStyle w:val="30"/>
          <w:b/>
        </w:rPr>
      </w:pPr>
      <w:bookmarkStart w:id="27" w:name="_Hlk195031333"/>
      <w:r w:rsidRPr="00EA0548">
        <w:rPr>
          <w:rStyle w:val="30"/>
          <w:b/>
        </w:rPr>
        <w:t xml:space="preserve">3.4.1 </w:t>
      </w:r>
      <w:r w:rsidRPr="00EA0548">
        <w:rPr>
          <w:rStyle w:val="30"/>
          <w:b/>
        </w:rPr>
        <w:t>提高勘探效率</w:t>
      </w:r>
    </w:p>
    <w:p w14:paraId="4A8D1354" w14:textId="77777777" w:rsidR="00330F3D" w:rsidRPr="00EA0548" w:rsidRDefault="00000000">
      <w:pPr>
        <w:rPr>
          <w:rStyle w:val="30"/>
          <w:rFonts w:cs="Times New Roman"/>
          <w:b w:val="0"/>
        </w:rPr>
      </w:pPr>
      <w:r w:rsidRPr="00EA0548">
        <w:rPr>
          <w:rStyle w:val="30"/>
          <w:rFonts w:cs="Times New Roman"/>
          <w:b w:val="0"/>
        </w:rPr>
        <w:t>通过模拟井下仪器振动工作条件，在实验室环境条件下通过振动台进行复现，暴露井下仪器的故障，提升仪器在复杂地层的环境适应性，缩短钻井周期（如单井节省</w:t>
      </w:r>
      <w:r w:rsidRPr="00EA0548">
        <w:rPr>
          <w:rStyle w:val="30"/>
          <w:rFonts w:cs="Times New Roman"/>
          <w:b w:val="0"/>
        </w:rPr>
        <w:t>3-5</w:t>
      </w:r>
      <w:r w:rsidRPr="00EA0548">
        <w:rPr>
          <w:rStyle w:val="30"/>
          <w:rFonts w:cs="Times New Roman"/>
          <w:b w:val="0"/>
        </w:rPr>
        <w:t>天），降低因振动异常导致的井下事故率（预计减少</w:t>
      </w:r>
      <w:r w:rsidRPr="00EA0548">
        <w:rPr>
          <w:rStyle w:val="30"/>
          <w:rFonts w:cs="Times New Roman"/>
          <w:b w:val="0"/>
        </w:rPr>
        <w:t>20%-30%</w:t>
      </w:r>
      <w:r w:rsidRPr="00EA0548">
        <w:rPr>
          <w:rStyle w:val="30"/>
          <w:rFonts w:cs="Times New Roman"/>
          <w:b w:val="0"/>
        </w:rPr>
        <w:t>）。</w:t>
      </w:r>
    </w:p>
    <w:p w14:paraId="212B6093" w14:textId="77777777" w:rsidR="00330F3D" w:rsidRPr="00EA0548" w:rsidRDefault="00000000">
      <w:pPr>
        <w:pStyle w:val="3"/>
      </w:pPr>
      <w:r w:rsidRPr="00EA0548">
        <w:rPr>
          <w:rStyle w:val="30"/>
          <w:b/>
          <w:bCs/>
        </w:rPr>
        <w:lastRenderedPageBreak/>
        <w:t xml:space="preserve">3.4.2 </w:t>
      </w:r>
      <w:r w:rsidRPr="00EA0548">
        <w:t>市场竞争力</w:t>
      </w:r>
    </w:p>
    <w:p w14:paraId="18249FD3" w14:textId="77777777" w:rsidR="00330F3D" w:rsidRPr="00EA0548" w:rsidRDefault="00000000">
      <w:pPr>
        <w:rPr>
          <w:rFonts w:cs="Times New Roman"/>
        </w:rPr>
      </w:pPr>
      <w:r w:rsidRPr="00EA0548">
        <w:rPr>
          <w:rFonts w:cs="Times New Roman"/>
        </w:rPr>
        <w:t>国产化装备成本较进口降低，加速技术出口（如中亚、中东市场），推动行业标准制定（如修订</w:t>
      </w:r>
      <w:r w:rsidRPr="00EA0548">
        <w:rPr>
          <w:rFonts w:cs="Times New Roman"/>
        </w:rPr>
        <w:t>GB/T 2423</w:t>
      </w:r>
      <w:r w:rsidRPr="00EA0548">
        <w:rPr>
          <w:rFonts w:cs="Times New Roman"/>
        </w:rPr>
        <w:t>），增强技术话语权。</w:t>
      </w:r>
    </w:p>
    <w:p w14:paraId="501432E0" w14:textId="77777777" w:rsidR="00330F3D" w:rsidRPr="00EA0548" w:rsidRDefault="00000000">
      <w:pPr>
        <w:pStyle w:val="3"/>
      </w:pPr>
      <w:r w:rsidRPr="00EA0548">
        <w:rPr>
          <w:rStyle w:val="30"/>
          <w:bCs/>
        </w:rPr>
        <w:t xml:space="preserve">3.4.3 </w:t>
      </w:r>
      <w:r w:rsidRPr="00EA0548">
        <w:t>长期收益</w:t>
      </w:r>
    </w:p>
    <w:p w14:paraId="31F09152" w14:textId="77777777" w:rsidR="00330F3D" w:rsidRPr="00EA0548" w:rsidRDefault="00000000">
      <w:pPr>
        <w:rPr>
          <w:rFonts w:cs="Times New Roman"/>
        </w:rPr>
      </w:pPr>
      <w:r w:rsidRPr="00EA0548">
        <w:rPr>
          <w:rFonts w:cs="Times New Roman"/>
        </w:rPr>
        <w:t>延长仪器使用寿命（如提高至</w:t>
      </w:r>
      <w:r w:rsidRPr="00EA0548">
        <w:rPr>
          <w:rFonts w:cs="Times New Roman"/>
        </w:rPr>
        <w:t>1000</w:t>
      </w:r>
      <w:r w:rsidRPr="00EA0548">
        <w:rPr>
          <w:rFonts w:cs="Times New Roman"/>
        </w:rPr>
        <w:t>小时以上），降低设备更换频率，助力油气田高效开发。</w:t>
      </w:r>
    </w:p>
    <w:p w14:paraId="7503B760" w14:textId="77777777" w:rsidR="00330F3D" w:rsidRPr="00EA0548" w:rsidRDefault="00000000">
      <w:pPr>
        <w:pStyle w:val="1"/>
        <w:rPr>
          <w:rFonts w:cs="Times New Roman"/>
        </w:rPr>
      </w:pPr>
      <w:bookmarkStart w:id="28" w:name="_Toc195030362"/>
      <w:bookmarkEnd w:id="27"/>
      <w:r w:rsidRPr="00EA0548">
        <w:rPr>
          <w:rFonts w:cs="Times New Roman"/>
        </w:rPr>
        <w:t xml:space="preserve">4. </w:t>
      </w:r>
      <w:r w:rsidRPr="00EA0548">
        <w:rPr>
          <w:rFonts w:cs="Times New Roman"/>
        </w:rPr>
        <w:t>与国际、国外同类标准水平的对比情况</w:t>
      </w:r>
      <w:bookmarkEnd w:id="28"/>
    </w:p>
    <w:p w14:paraId="2A9ECDBF" w14:textId="77777777" w:rsidR="00330F3D" w:rsidRPr="00EA0548" w:rsidRDefault="00000000">
      <w:pPr>
        <w:pStyle w:val="2"/>
        <w:rPr>
          <w:rFonts w:cs="Times New Roman"/>
        </w:rPr>
      </w:pPr>
      <w:bookmarkStart w:id="29" w:name="_Toc195030363"/>
      <w:r w:rsidRPr="00EA0548">
        <w:rPr>
          <w:rFonts w:cs="Times New Roman"/>
        </w:rPr>
        <w:t xml:space="preserve">4.1 </w:t>
      </w:r>
      <w:r w:rsidRPr="00EA0548">
        <w:rPr>
          <w:rFonts w:cs="Times New Roman"/>
        </w:rPr>
        <w:t>国际标准情况</w:t>
      </w:r>
      <w:bookmarkEnd w:id="29"/>
    </w:p>
    <w:p w14:paraId="2947D335" w14:textId="77777777" w:rsidR="00330F3D" w:rsidRPr="00EA0548" w:rsidRDefault="00000000">
      <w:pPr>
        <w:rPr>
          <w:rFonts w:cs="Times New Roman"/>
        </w:rPr>
      </w:pPr>
      <w:r w:rsidRPr="00EA0548">
        <w:rPr>
          <w:rFonts w:cs="Times New Roman"/>
          <w:lang w:bidi="ar"/>
        </w:rPr>
        <w:t>目前，国际上虽无专门针对智能石油勘探装备井下仪器振动试验的统一标准，但存在一些相关的通用振动试验标准以及部分石油行业相关标准可供参考。例如，国际标准化组织（</w:t>
      </w:r>
      <w:r w:rsidRPr="00EA0548">
        <w:rPr>
          <w:rFonts w:cs="Times New Roman"/>
          <w:lang w:bidi="ar"/>
        </w:rPr>
        <w:t>ISO</w:t>
      </w:r>
      <w:r w:rsidRPr="00EA0548">
        <w:rPr>
          <w:rFonts w:cs="Times New Roman"/>
          <w:lang w:bidi="ar"/>
        </w:rPr>
        <w:t>）制定的</w:t>
      </w:r>
      <w:r w:rsidRPr="00EA0548">
        <w:rPr>
          <w:rFonts w:cs="Times New Roman"/>
          <w:lang w:bidi="ar"/>
        </w:rPr>
        <w:t xml:space="preserve"> ISO 16750 </w:t>
      </w:r>
      <w:r w:rsidRPr="00EA0548">
        <w:rPr>
          <w:rFonts w:cs="Times New Roman"/>
          <w:lang w:bidi="ar"/>
        </w:rPr>
        <w:t>系列标准，主要针对道路车辆电子电气设备在振动、冲击等环境条件下的可靠性测试。虽然该标准并非专门针对石油勘探装备井下仪器，但其中关于振动试验的基本原理、试验方法以及对设备性能要求等方面的内容，具有一定的借鉴意义。在频率响应测试方面，</w:t>
      </w:r>
      <w:r w:rsidRPr="00EA0548">
        <w:rPr>
          <w:rFonts w:cs="Times New Roman"/>
          <w:lang w:bidi="ar"/>
        </w:rPr>
        <w:t xml:space="preserve">ISO 16750 </w:t>
      </w:r>
      <w:r w:rsidRPr="00EA0548">
        <w:rPr>
          <w:rFonts w:cs="Times New Roman"/>
          <w:lang w:bidi="ar"/>
        </w:rPr>
        <w:t>标准规定了详细的扫频范围、扫频速率以及测量响应参数的方法，其频率范围通常涵盖了较宽的区间，如</w:t>
      </w:r>
      <w:r w:rsidRPr="00EA0548">
        <w:rPr>
          <w:rFonts w:cs="Times New Roman"/>
          <w:lang w:bidi="ar"/>
        </w:rPr>
        <w:t>5Hz-2000Hz</w:t>
      </w:r>
      <w:r w:rsidRPr="00EA0548">
        <w:rPr>
          <w:rFonts w:cs="Times New Roman"/>
          <w:lang w:bidi="ar"/>
        </w:rPr>
        <w:t>，能够较为全面地检测设备在不同频率下的振动响应特性。</w:t>
      </w:r>
    </w:p>
    <w:p w14:paraId="437E6248" w14:textId="77777777" w:rsidR="00330F3D" w:rsidRPr="00EA0548" w:rsidRDefault="00000000">
      <w:pPr>
        <w:pStyle w:val="2"/>
        <w:rPr>
          <w:rFonts w:cs="Times New Roman"/>
        </w:rPr>
      </w:pPr>
      <w:bookmarkStart w:id="30" w:name="_Toc195030364"/>
      <w:r w:rsidRPr="00EA0548">
        <w:rPr>
          <w:rFonts w:cs="Times New Roman"/>
        </w:rPr>
        <w:t xml:space="preserve">4.2 </w:t>
      </w:r>
      <w:r w:rsidRPr="00EA0548">
        <w:rPr>
          <w:rFonts w:cs="Times New Roman"/>
        </w:rPr>
        <w:t>国外标准情况</w:t>
      </w:r>
      <w:bookmarkEnd w:id="30"/>
    </w:p>
    <w:p w14:paraId="628D4FAD" w14:textId="77777777" w:rsidR="00330F3D" w:rsidRPr="00EA0548" w:rsidRDefault="00000000">
      <w:pPr>
        <w:pStyle w:val="3"/>
        <w:rPr>
          <w:rStyle w:val="30"/>
        </w:rPr>
      </w:pPr>
      <w:r w:rsidRPr="00EA0548">
        <w:rPr>
          <w:rStyle w:val="30"/>
          <w:rFonts w:hint="eastAsia"/>
        </w:rPr>
        <w:t xml:space="preserve">4.2.1 </w:t>
      </w:r>
      <w:r w:rsidRPr="00EA0548">
        <w:rPr>
          <w:rStyle w:val="30"/>
          <w:b/>
          <w:bCs/>
        </w:rPr>
        <w:t>美国</w:t>
      </w:r>
      <w:r w:rsidRPr="00EA0548">
        <w:rPr>
          <w:rStyle w:val="30"/>
          <w:rFonts w:hint="eastAsia"/>
          <w:b/>
          <w:bCs/>
        </w:rPr>
        <w:t>相关</w:t>
      </w:r>
      <w:r w:rsidRPr="00EA0548">
        <w:rPr>
          <w:rStyle w:val="30"/>
          <w:b/>
          <w:bCs/>
        </w:rPr>
        <w:t>标准</w:t>
      </w:r>
    </w:p>
    <w:p w14:paraId="623692C9" w14:textId="77777777" w:rsidR="00330F3D" w:rsidRPr="00EA0548" w:rsidRDefault="00000000">
      <w:pPr>
        <w:rPr>
          <w:rFonts w:cs="Times New Roman"/>
        </w:rPr>
      </w:pPr>
      <w:r w:rsidRPr="00EA0548">
        <w:rPr>
          <w:rFonts w:cs="Times New Roman"/>
        </w:rPr>
        <w:t xml:space="preserve">API </w:t>
      </w:r>
      <w:r w:rsidRPr="00EA0548">
        <w:rPr>
          <w:rFonts w:cs="Times New Roman"/>
        </w:rPr>
        <w:t>在石油行业标准制定方面具有广泛影响力</w:t>
      </w:r>
      <w:r w:rsidRPr="00EA0548">
        <w:rPr>
          <w:rFonts w:cs="Times New Roman" w:hint="eastAsia"/>
        </w:rPr>
        <w:t>，</w:t>
      </w:r>
      <w:r w:rsidRPr="00EA0548">
        <w:rPr>
          <w:rFonts w:cs="Times New Roman"/>
        </w:rPr>
        <w:t>然而针对智能石油勘探装备井下仪器双台振动试验，</w:t>
      </w:r>
      <w:r w:rsidRPr="00EA0548">
        <w:rPr>
          <w:rFonts w:cs="Times New Roman"/>
        </w:rPr>
        <w:t xml:space="preserve">API </w:t>
      </w:r>
      <w:r w:rsidRPr="00EA0548">
        <w:rPr>
          <w:rFonts w:cs="Times New Roman"/>
        </w:rPr>
        <w:t>目前也没有专门的细化标准。但在其相关的设备可靠性与安全标准中，对设备在振动环境下的一般要求有所提及。例如，</w:t>
      </w:r>
      <w:r w:rsidRPr="00EA0548">
        <w:rPr>
          <w:rFonts w:cs="Times New Roman"/>
        </w:rPr>
        <w:t xml:space="preserve">API RP 1110 </w:t>
      </w:r>
      <w:r w:rsidRPr="00EA0548">
        <w:rPr>
          <w:rFonts w:cs="Times New Roman"/>
        </w:rPr>
        <w:t>标准主要关注泵的振动监测与控制，其中涉及到振动测量方法、振动限值等内容，对于井下仪器振动试验中的振动幅值控制以及测量精度要求等方面有一定的参考价值。但该标准更多是从宏观的石油设备运行安全角度出发，对于井下仪器这种特殊、精密设备在双台振动试验中的具体参数设置、试验流程等方面的</w:t>
      </w:r>
      <w:r w:rsidRPr="00EA0548">
        <w:rPr>
          <w:rFonts w:cs="Times New Roman"/>
        </w:rPr>
        <w:lastRenderedPageBreak/>
        <w:t>规定不够详细。</w:t>
      </w:r>
    </w:p>
    <w:p w14:paraId="62AA1B49" w14:textId="77777777" w:rsidR="00330F3D" w:rsidRPr="00EA0548" w:rsidRDefault="00000000">
      <w:pPr>
        <w:rPr>
          <w:rFonts w:cs="Times New Roman"/>
        </w:rPr>
      </w:pPr>
      <w:r w:rsidRPr="00EA0548">
        <w:rPr>
          <w:rFonts w:hint="eastAsia"/>
        </w:rPr>
        <w:t>多台多轴振动试验方面，国外主要有美军标</w:t>
      </w:r>
      <w:r w:rsidRPr="00EA0548">
        <w:rPr>
          <w:rFonts w:hint="eastAsia"/>
        </w:rPr>
        <w:t>MIL-810-G Method 527</w:t>
      </w:r>
      <w:r w:rsidRPr="00EA0548">
        <w:rPr>
          <w:rFonts w:hint="eastAsia"/>
        </w:rPr>
        <w:t>和美国环境和科学技术研究院（</w:t>
      </w:r>
      <w:r w:rsidRPr="00EA0548">
        <w:t>Institute of Environmental Sciences and Technology</w:t>
      </w:r>
      <w:r w:rsidRPr="00EA0548">
        <w:rPr>
          <w:rFonts w:hint="eastAsia"/>
        </w:rPr>
        <w:t>）企业标准</w:t>
      </w:r>
      <w:r w:rsidRPr="00EA0548">
        <w:t>IEST-RP-DTE022.1</w:t>
      </w:r>
      <w:r w:rsidRPr="00EA0548">
        <w:rPr>
          <w:rFonts w:hint="eastAsia"/>
        </w:rPr>
        <w:t xml:space="preserve"> </w:t>
      </w:r>
      <w:r w:rsidRPr="00EA0548">
        <w:t xml:space="preserve">Multi-Shaker </w:t>
      </w:r>
      <w:r w:rsidRPr="00EA0548">
        <w:rPr>
          <w:rFonts w:ascii="宋体" w:hAnsi="宋体"/>
        </w:rPr>
        <w:t>Test</w:t>
      </w:r>
      <w:r w:rsidRPr="00EA0548">
        <w:t xml:space="preserve"> and Control</w:t>
      </w:r>
      <w:r w:rsidRPr="00EA0548">
        <w:rPr>
          <w:rFonts w:hint="eastAsia"/>
        </w:rPr>
        <w:t>。美军标</w:t>
      </w:r>
      <w:r w:rsidRPr="00EA0548">
        <w:rPr>
          <w:rFonts w:hint="eastAsia"/>
        </w:rPr>
        <w:t>MIL-810-G Method 527</w:t>
      </w:r>
      <w:r w:rsidRPr="00EA0548">
        <w:rPr>
          <w:rFonts w:hint="eastAsia"/>
        </w:rPr>
        <w:t>规定了一些多台多轴的概念和一些试验方法的指导性原则，适用于初期接触多台多轴的军工试验人员，了解多台多轴振动试验的基本概念、应用方法等；</w:t>
      </w:r>
      <w:r w:rsidRPr="00EA0548">
        <w:t>IEST-RP-DTE022.1</w:t>
      </w:r>
      <w:r w:rsidRPr="00EA0548">
        <w:rPr>
          <w:rFonts w:hint="eastAsia"/>
        </w:rPr>
        <w:t xml:space="preserve"> </w:t>
      </w:r>
      <w:r w:rsidRPr="00EA0548">
        <w:t>Multi-Shaker Test and Control</w:t>
      </w:r>
      <w:r w:rsidRPr="00EA0548">
        <w:rPr>
          <w:rFonts w:hint="eastAsia"/>
        </w:rPr>
        <w:t>则从工程实际通常出发，从多台多轴系统的组成的角度，比较全面的介绍了现阶段多台多轴的各种设备，适用于多台多轴试验设计的设备选型参考。</w:t>
      </w:r>
    </w:p>
    <w:p w14:paraId="32E5996F" w14:textId="77777777" w:rsidR="00330F3D" w:rsidRPr="00EA0548" w:rsidRDefault="00000000">
      <w:pPr>
        <w:pStyle w:val="3"/>
        <w:rPr>
          <w:rStyle w:val="30"/>
        </w:rPr>
      </w:pPr>
      <w:r w:rsidRPr="00EA0548">
        <w:rPr>
          <w:rStyle w:val="30"/>
          <w:rFonts w:hint="eastAsia"/>
        </w:rPr>
        <w:t xml:space="preserve">4.2.2 </w:t>
      </w:r>
      <w:r w:rsidRPr="00EA0548">
        <w:rPr>
          <w:rStyle w:val="30"/>
        </w:rPr>
        <w:t>欧洲相关标准</w:t>
      </w:r>
    </w:p>
    <w:p w14:paraId="2D3C0FF7" w14:textId="5EC73A34" w:rsidR="00330F3D" w:rsidRPr="00EA0548" w:rsidRDefault="00000000">
      <w:pPr>
        <w:rPr>
          <w:rFonts w:cs="Times New Roman"/>
        </w:rPr>
      </w:pPr>
      <w:r w:rsidRPr="00EA0548">
        <w:rPr>
          <w:rFonts w:cs="Times New Roman"/>
        </w:rPr>
        <w:t>欧洲一些国家在机械振动与冲击试验方面有较为成熟的标准体系。以德国为例，其工业标准（</w:t>
      </w:r>
      <w:r w:rsidRPr="00EA0548">
        <w:rPr>
          <w:rFonts w:cs="Times New Roman"/>
        </w:rPr>
        <w:t>DIN</w:t>
      </w:r>
      <w:r w:rsidRPr="00EA0548">
        <w:rPr>
          <w:rFonts w:cs="Times New Roman"/>
        </w:rPr>
        <w:t>）在机械工程领域被广泛应用。在振动试验设备方面，</w:t>
      </w:r>
      <w:r w:rsidRPr="00EA0548">
        <w:rPr>
          <w:rFonts w:cs="Times New Roman"/>
        </w:rPr>
        <w:t>DIN</w:t>
      </w:r>
      <w:r w:rsidRPr="00EA0548">
        <w:rPr>
          <w:rFonts w:cs="Times New Roman"/>
        </w:rPr>
        <w:t>标准对振动台的性能指标，如频率精度、振幅均匀度等提出了严格要求。对于智能石油勘探装备井下仪器双台振动试验系统中的振动台选型和性能评估具有参考意义。但在针对井下仪器这种特定应用场景的双台振动试验</w:t>
      </w:r>
      <w:r w:rsidR="001D5311" w:rsidRPr="00EA0548">
        <w:rPr>
          <w:rFonts w:cs="Times New Roman" w:hint="eastAsia"/>
        </w:rPr>
        <w:t>方法</w:t>
      </w:r>
      <w:r w:rsidRPr="00EA0548">
        <w:rPr>
          <w:rFonts w:cs="Times New Roman"/>
        </w:rPr>
        <w:t>制定上，欧洲标准同样缺乏专门性和针对性，更多是基于通用机械振动试验要求，无法完全满足井下仪器复杂的工作环境和高精度性能要求。</w:t>
      </w:r>
    </w:p>
    <w:p w14:paraId="743D4BFF" w14:textId="77777777" w:rsidR="00330F3D" w:rsidRPr="00EA0548" w:rsidRDefault="00000000">
      <w:pPr>
        <w:pStyle w:val="3"/>
        <w:rPr>
          <w:rStyle w:val="30"/>
        </w:rPr>
      </w:pPr>
      <w:r w:rsidRPr="00EA0548">
        <w:rPr>
          <w:rStyle w:val="30"/>
          <w:rFonts w:hint="eastAsia"/>
        </w:rPr>
        <w:t xml:space="preserve">4.2.3 </w:t>
      </w:r>
      <w:r w:rsidRPr="00EA0548">
        <w:rPr>
          <w:rStyle w:val="30"/>
          <w:rFonts w:hint="eastAsia"/>
        </w:rPr>
        <w:t>国外标准小结</w:t>
      </w:r>
    </w:p>
    <w:p w14:paraId="6E996A99" w14:textId="17DEB341" w:rsidR="00330F3D" w:rsidRPr="00EA0548" w:rsidRDefault="00000000">
      <w:pPr>
        <w:rPr>
          <w:rFonts w:cs="Times New Roman"/>
        </w:rPr>
      </w:pPr>
      <w:r w:rsidRPr="00EA0548">
        <w:rPr>
          <w:rFonts w:cs="Times New Roman"/>
        </w:rPr>
        <w:t>智能石油勘探装备井下仪器的性能与可靠性对石油勘探作业的效率和安全性至关重要。</w:t>
      </w:r>
      <w:r w:rsidRPr="00EA0548">
        <w:rPr>
          <w:rFonts w:hint="eastAsia"/>
        </w:rPr>
        <w:t>国外标准重点是基础性的、理论性的多台多轴振动试验方法的介绍，只规定了一些多台多轴的概念和一些试验方法的指导性原则，没有具体的试验方法，可操作性不强。</w:t>
      </w:r>
      <w:r w:rsidRPr="00EA0548">
        <w:rPr>
          <w:rFonts w:cs="Times New Roman"/>
        </w:rPr>
        <w:t>双台振动试验</w:t>
      </w:r>
      <w:r w:rsidR="001D5311" w:rsidRPr="00EA0548">
        <w:rPr>
          <w:rFonts w:cs="Times New Roman" w:hint="eastAsia"/>
        </w:rPr>
        <w:t>方法</w:t>
      </w:r>
      <w:r w:rsidRPr="00EA0548">
        <w:rPr>
          <w:rFonts w:cs="Times New Roman"/>
        </w:rPr>
        <w:t>作为评估仪器在复杂振动环境下表现的关键手段，在国内外都备受关注。通过对比我国智能石油勘探装备井下仪器双台振动试验</w:t>
      </w:r>
      <w:r w:rsidR="001D5311" w:rsidRPr="00EA0548">
        <w:rPr>
          <w:rFonts w:cs="Times New Roman" w:hint="eastAsia"/>
        </w:rPr>
        <w:t>方法</w:t>
      </w:r>
      <w:r w:rsidRPr="00EA0548">
        <w:rPr>
          <w:rFonts w:cs="Times New Roman"/>
        </w:rPr>
        <w:t>与国际、国外同类标准水平，能够明确我国标准的优势，为进一步优化标准、提升仪器质量提供参考。</w:t>
      </w:r>
    </w:p>
    <w:p w14:paraId="0E9B5E41" w14:textId="77777777" w:rsidR="00330F3D" w:rsidRPr="00EA0548" w:rsidRDefault="00000000">
      <w:pPr>
        <w:pStyle w:val="2"/>
        <w:rPr>
          <w:rFonts w:cs="Times New Roman"/>
        </w:rPr>
      </w:pPr>
      <w:bookmarkStart w:id="31" w:name="_Toc195030365"/>
      <w:r w:rsidRPr="00EA0548">
        <w:rPr>
          <w:rFonts w:cs="Times New Roman"/>
        </w:rPr>
        <w:t xml:space="preserve">4.3 </w:t>
      </w:r>
      <w:r w:rsidRPr="00EA0548">
        <w:rPr>
          <w:rFonts w:cs="Times New Roman"/>
        </w:rPr>
        <w:t>我国标准情况</w:t>
      </w:r>
      <w:bookmarkEnd w:id="31"/>
    </w:p>
    <w:p w14:paraId="797BA206" w14:textId="6BBE9279" w:rsidR="00330F3D" w:rsidRPr="00EA0548" w:rsidRDefault="00000000">
      <w:r w:rsidRPr="00EA0548">
        <w:rPr>
          <w:rFonts w:cs="Times New Roman"/>
        </w:rPr>
        <w:t>我国在智能石油勘探装备井下仪器双台并激振动试验</w:t>
      </w:r>
      <w:r w:rsidR="001D5311" w:rsidRPr="00EA0548">
        <w:rPr>
          <w:rFonts w:cs="Times New Roman" w:hint="eastAsia"/>
        </w:rPr>
        <w:t>方法</w:t>
      </w:r>
      <w:r w:rsidRPr="00EA0548">
        <w:rPr>
          <w:rFonts w:cs="Times New Roman"/>
        </w:rPr>
        <w:t>方面，正逐步完善相关标准体系。目前，有一些行业标准和正在制定的标准开始关注这一领域。例</w:t>
      </w:r>
      <w:r w:rsidRPr="00EA0548">
        <w:rPr>
          <w:rFonts w:cs="Times New Roman"/>
        </w:rPr>
        <w:lastRenderedPageBreak/>
        <w:t>如，在某些石油物探仪器相关标准修订过程中，开始增加对双台振动试验的要求。我国的石油勘探开发仪器振动试验标准如</w:t>
      </w:r>
      <w:r w:rsidRPr="00EA0548">
        <w:rPr>
          <w:rFonts w:cs="Times New Roman"/>
        </w:rPr>
        <w:t>SY/T 5134-1993</w:t>
      </w:r>
      <w:r w:rsidRPr="00EA0548">
        <w:rPr>
          <w:rFonts w:cs="Times New Roman"/>
        </w:rPr>
        <w:t>等，对振动试验的条件、方法、步骤等进行了详细规定。这些标准主要基于国内的工程实践和仪器特点制定，仅能够满足国内石油勘探装备井下仪器单台振动试验的基本试验需求。还没有双台振动试验</w:t>
      </w:r>
      <w:r w:rsidR="001D5311" w:rsidRPr="00EA0548">
        <w:rPr>
          <w:rFonts w:cs="Times New Roman" w:hint="eastAsia"/>
        </w:rPr>
        <w:t>方法</w:t>
      </w:r>
      <w:r w:rsidRPr="00EA0548">
        <w:rPr>
          <w:rFonts w:cs="Times New Roman"/>
        </w:rPr>
        <w:t>。</w:t>
      </w:r>
      <w:r w:rsidRPr="00EA0548">
        <w:rPr>
          <w:rFonts w:hint="eastAsia"/>
        </w:rPr>
        <w:t>国内</w:t>
      </w:r>
      <w:r w:rsidRPr="00EA0548">
        <w:rPr>
          <w:rFonts w:cs="Times New Roman"/>
        </w:rPr>
        <w:t>GB/T2423.62</w:t>
      </w:r>
      <w:r w:rsidRPr="00EA0548">
        <w:rPr>
          <w:rFonts w:ascii="宋体" w:hAnsi="宋体" w:hint="eastAsia"/>
        </w:rPr>
        <w:t>标准对象覆盖范围较广，给出了一部分指导性原则，较为笼统，在双台同方向激励方面针对性不强，可操作性性较弱；</w:t>
      </w:r>
      <w:r w:rsidRPr="00EA0548">
        <w:rPr>
          <w:rFonts w:cs="Times New Roman"/>
        </w:rPr>
        <w:t>GJB 8547</w:t>
      </w:r>
      <w:r w:rsidRPr="00EA0548">
        <w:rPr>
          <w:rFonts w:ascii="宋体" w:hAnsi="宋体" w:hint="eastAsia"/>
        </w:rPr>
        <w:t>主要针对军工行业导弹等细长体试验件，其试验设备、参试设备、试验流程等方面主要针对军工行业试验件制定。</w:t>
      </w:r>
    </w:p>
    <w:p w14:paraId="1703CC26" w14:textId="77777777" w:rsidR="00330F3D" w:rsidRPr="00EA0548" w:rsidRDefault="00000000">
      <w:pPr>
        <w:rPr>
          <w:rFonts w:cs="Times New Roman"/>
        </w:rPr>
      </w:pPr>
      <w:r w:rsidRPr="00EA0548">
        <w:rPr>
          <w:rFonts w:hint="eastAsia"/>
        </w:rPr>
        <w:t>国内</w:t>
      </w:r>
      <w:r w:rsidRPr="00EA0548">
        <w:rPr>
          <w:rFonts w:cs="Times New Roman"/>
        </w:rPr>
        <w:t>GB/T2423.62</w:t>
      </w:r>
      <w:r w:rsidRPr="00EA0548">
        <w:rPr>
          <w:rFonts w:hint="eastAsia"/>
        </w:rPr>
        <w:t>更适合作为通用的工程试验的参考和原则性指导；</w:t>
      </w:r>
      <w:r w:rsidRPr="00EA0548">
        <w:rPr>
          <w:rFonts w:cs="Times New Roman"/>
        </w:rPr>
        <w:t>GJB 8547</w:t>
      </w:r>
      <w:r w:rsidRPr="00EA0548">
        <w:rPr>
          <w:rFonts w:ascii="宋体" w:hAnsi="宋体" w:hint="eastAsia"/>
        </w:rPr>
        <w:t>主要针对军工行业的特定试验件，与其他行业相差较大。</w:t>
      </w:r>
      <w:r w:rsidRPr="00EA0548">
        <w:rPr>
          <w:rFonts w:hint="eastAsia"/>
        </w:rPr>
        <w:t>《油气勘探装备智能导钻仪器振动试验方法》则着眼于石油行业特定的振动台振动试验系统和具体的试验方法，在试验条件制定、试验设备、试验流程等各方面做出了全面、详实的规定，可操作性强、针对性更强。</w:t>
      </w:r>
    </w:p>
    <w:p w14:paraId="07BB8CF9" w14:textId="77777777" w:rsidR="00330F3D" w:rsidRPr="00EA0548" w:rsidRDefault="00000000">
      <w:pPr>
        <w:pStyle w:val="2"/>
      </w:pPr>
      <w:r w:rsidRPr="00EA0548">
        <w:rPr>
          <w:rFonts w:hint="eastAsia"/>
        </w:rPr>
        <w:t xml:space="preserve">4.4 </w:t>
      </w:r>
      <w:r w:rsidRPr="00EA0548">
        <w:rPr>
          <w:rFonts w:hint="eastAsia"/>
        </w:rPr>
        <w:t>参考标准</w:t>
      </w:r>
    </w:p>
    <w:p w14:paraId="411BE4A7" w14:textId="38881DA6" w:rsidR="00330F3D" w:rsidRPr="00EA0548" w:rsidRDefault="00000000">
      <w:r w:rsidRPr="00EA0548">
        <w:rPr>
          <w:rFonts w:hint="eastAsia"/>
        </w:rPr>
        <w:t>本</w:t>
      </w:r>
      <w:r w:rsidR="003D52F7" w:rsidRPr="00EA0548">
        <w:rPr>
          <w:rFonts w:hint="eastAsia"/>
        </w:rPr>
        <w:t>文件</w:t>
      </w:r>
      <w:r w:rsidRPr="00EA0548">
        <w:rPr>
          <w:rFonts w:hint="eastAsia"/>
        </w:rPr>
        <w:t>在编制过程中参考、引用、参阅了下述的技术标准。</w:t>
      </w:r>
    </w:p>
    <w:p w14:paraId="661FBD59" w14:textId="77777777" w:rsidR="00330F3D" w:rsidRPr="00EA0548" w:rsidRDefault="00000000">
      <w:pPr>
        <w:pStyle w:val="af8"/>
        <w:spacing w:line="360" w:lineRule="auto"/>
        <w:ind w:firstLine="480"/>
        <w:rPr>
          <w:rFonts w:ascii="Times New Roman"/>
          <w:sz w:val="24"/>
          <w:szCs w:val="24"/>
        </w:rPr>
      </w:pPr>
      <w:r w:rsidRPr="00EA0548">
        <w:rPr>
          <w:rFonts w:ascii="Times New Roman"/>
          <w:sz w:val="24"/>
          <w:szCs w:val="24"/>
        </w:rPr>
        <w:t xml:space="preserve">GB/T 2298    </w:t>
      </w:r>
      <w:r w:rsidRPr="00EA0548">
        <w:rPr>
          <w:rFonts w:ascii="Times New Roman"/>
          <w:sz w:val="24"/>
          <w:szCs w:val="24"/>
        </w:rPr>
        <w:t>机械振动、冲击与状态监测术语</w:t>
      </w:r>
    </w:p>
    <w:p w14:paraId="6AAFE1A3" w14:textId="7B253358" w:rsidR="00330F3D" w:rsidRPr="00EA0548" w:rsidRDefault="00000000">
      <w:pPr>
        <w:pStyle w:val="af8"/>
        <w:spacing w:line="360" w:lineRule="auto"/>
        <w:ind w:firstLine="480"/>
        <w:rPr>
          <w:rFonts w:ascii="Times New Roman"/>
          <w:sz w:val="24"/>
          <w:szCs w:val="24"/>
        </w:rPr>
      </w:pPr>
      <w:r w:rsidRPr="00EA0548">
        <w:rPr>
          <w:rFonts w:ascii="Times New Roman"/>
          <w:sz w:val="24"/>
          <w:szCs w:val="24"/>
        </w:rPr>
        <w:t xml:space="preserve">GB/T 2423.62 </w:t>
      </w:r>
      <w:r w:rsidRPr="00EA0548">
        <w:rPr>
          <w:rFonts w:ascii="Times New Roman"/>
          <w:sz w:val="24"/>
          <w:szCs w:val="24"/>
        </w:rPr>
        <w:t>环境试验</w:t>
      </w:r>
      <w:r w:rsidRPr="00EA0548">
        <w:rPr>
          <w:rFonts w:ascii="Times New Roman"/>
          <w:sz w:val="24"/>
          <w:szCs w:val="24"/>
        </w:rPr>
        <w:t xml:space="preserve"> </w:t>
      </w:r>
      <w:r w:rsidRPr="00EA0548">
        <w:rPr>
          <w:rFonts w:ascii="Times New Roman"/>
          <w:sz w:val="24"/>
          <w:szCs w:val="24"/>
        </w:rPr>
        <w:t>第</w:t>
      </w:r>
      <w:r w:rsidRPr="00EA0548">
        <w:rPr>
          <w:rFonts w:ascii="Times New Roman"/>
          <w:sz w:val="24"/>
          <w:szCs w:val="24"/>
        </w:rPr>
        <w:t>2</w:t>
      </w:r>
      <w:r w:rsidRPr="00EA0548">
        <w:rPr>
          <w:rFonts w:ascii="Times New Roman"/>
          <w:sz w:val="24"/>
          <w:szCs w:val="24"/>
        </w:rPr>
        <w:t>部分：试验方法</w:t>
      </w:r>
      <w:r w:rsidRPr="00EA0548">
        <w:rPr>
          <w:rFonts w:ascii="Times New Roman"/>
          <w:sz w:val="24"/>
          <w:szCs w:val="24"/>
        </w:rPr>
        <w:t xml:space="preserve"> </w:t>
      </w:r>
      <w:r w:rsidRPr="00EA0548">
        <w:rPr>
          <w:rFonts w:ascii="Times New Roman"/>
          <w:sz w:val="24"/>
          <w:szCs w:val="24"/>
        </w:rPr>
        <w:t>试验</w:t>
      </w:r>
      <w:proofErr w:type="spellStart"/>
      <w:r w:rsidRPr="00EA0548">
        <w:rPr>
          <w:rFonts w:ascii="Times New Roman"/>
          <w:sz w:val="24"/>
          <w:szCs w:val="24"/>
        </w:rPr>
        <w:t>Fx</w:t>
      </w:r>
      <w:proofErr w:type="spellEnd"/>
      <w:r w:rsidRPr="00EA0548">
        <w:rPr>
          <w:rFonts w:ascii="Times New Roman"/>
          <w:sz w:val="24"/>
          <w:szCs w:val="24"/>
        </w:rPr>
        <w:t>和</w:t>
      </w:r>
      <w:proofErr w:type="gramStart"/>
      <w:r w:rsidRPr="00EA0548">
        <w:rPr>
          <w:rFonts w:ascii="Times New Roman"/>
          <w:sz w:val="24"/>
          <w:szCs w:val="24"/>
        </w:rPr>
        <w:t>导则</w:t>
      </w:r>
      <w:proofErr w:type="gramEnd"/>
      <w:r w:rsidRPr="00EA0548">
        <w:rPr>
          <w:rFonts w:ascii="Times New Roman"/>
          <w:sz w:val="24"/>
          <w:szCs w:val="24"/>
        </w:rPr>
        <w:t>：多输入多输出振动</w:t>
      </w:r>
    </w:p>
    <w:p w14:paraId="7870100A" w14:textId="77777777" w:rsidR="00330F3D" w:rsidRPr="00EA0548" w:rsidRDefault="00000000">
      <w:pPr>
        <w:pStyle w:val="af8"/>
        <w:spacing w:line="360" w:lineRule="auto"/>
        <w:ind w:firstLine="480"/>
        <w:rPr>
          <w:rFonts w:ascii="Times New Roman"/>
          <w:sz w:val="24"/>
          <w:szCs w:val="24"/>
        </w:rPr>
      </w:pPr>
      <w:bookmarkStart w:id="32" w:name="OLE_LINK1"/>
      <w:r w:rsidRPr="00EA0548">
        <w:rPr>
          <w:rFonts w:ascii="Times New Roman"/>
          <w:sz w:val="24"/>
          <w:szCs w:val="24"/>
        </w:rPr>
        <w:t xml:space="preserve">GB/T 14499   </w:t>
      </w:r>
      <w:r w:rsidRPr="00EA0548">
        <w:rPr>
          <w:rFonts w:ascii="Times New Roman"/>
          <w:sz w:val="24"/>
          <w:szCs w:val="24"/>
        </w:rPr>
        <w:t>地球物理勘查技术符号</w:t>
      </w:r>
    </w:p>
    <w:p w14:paraId="7E244A10" w14:textId="77777777" w:rsidR="00330F3D" w:rsidRPr="00EA0548" w:rsidRDefault="00000000">
      <w:pPr>
        <w:pStyle w:val="af8"/>
        <w:spacing w:line="360" w:lineRule="auto"/>
        <w:ind w:firstLine="480"/>
        <w:rPr>
          <w:rFonts w:ascii="Times New Roman"/>
          <w:sz w:val="24"/>
          <w:szCs w:val="24"/>
        </w:rPr>
      </w:pPr>
      <w:r w:rsidRPr="00EA0548">
        <w:rPr>
          <w:rFonts w:ascii="Times New Roman"/>
          <w:sz w:val="24"/>
          <w:szCs w:val="24"/>
        </w:rPr>
        <w:t xml:space="preserve">GB/T 44400   </w:t>
      </w:r>
      <w:r w:rsidRPr="00EA0548">
        <w:rPr>
          <w:rFonts w:ascii="Times New Roman"/>
          <w:sz w:val="24"/>
          <w:szCs w:val="24"/>
        </w:rPr>
        <w:t>电动振动台双台并激振动试验系统</w:t>
      </w:r>
    </w:p>
    <w:bookmarkEnd w:id="32"/>
    <w:p w14:paraId="513A4085" w14:textId="77777777" w:rsidR="00330F3D" w:rsidRPr="00EA0548" w:rsidRDefault="00000000">
      <w:pPr>
        <w:pStyle w:val="af8"/>
        <w:spacing w:line="360" w:lineRule="auto"/>
        <w:ind w:firstLine="480"/>
        <w:rPr>
          <w:rFonts w:ascii="Times New Roman"/>
          <w:sz w:val="24"/>
          <w:szCs w:val="24"/>
        </w:rPr>
      </w:pPr>
      <w:r w:rsidRPr="00EA0548">
        <w:rPr>
          <w:rFonts w:ascii="Times New Roman"/>
          <w:sz w:val="24"/>
          <w:szCs w:val="24"/>
        </w:rPr>
        <w:t xml:space="preserve">GB/T 24262   </w:t>
      </w:r>
      <w:r w:rsidRPr="00EA0548">
        <w:rPr>
          <w:rFonts w:ascii="Times New Roman"/>
          <w:sz w:val="24"/>
          <w:szCs w:val="24"/>
        </w:rPr>
        <w:t>石油物探仪器环境试验及可靠性要求</w:t>
      </w:r>
    </w:p>
    <w:p w14:paraId="42CA2022" w14:textId="77777777" w:rsidR="00330F3D" w:rsidRPr="00EA0548" w:rsidRDefault="00000000">
      <w:pPr>
        <w:pStyle w:val="af8"/>
        <w:spacing w:line="360" w:lineRule="auto"/>
        <w:ind w:firstLine="480"/>
        <w:rPr>
          <w:rFonts w:ascii="Times New Roman"/>
          <w:sz w:val="24"/>
          <w:szCs w:val="24"/>
        </w:rPr>
      </w:pPr>
      <w:r w:rsidRPr="00EA0548">
        <w:rPr>
          <w:rFonts w:ascii="Times New Roman"/>
          <w:sz w:val="24"/>
          <w:szCs w:val="24"/>
        </w:rPr>
        <w:t xml:space="preserve">GJB 8547     </w:t>
      </w:r>
      <w:r w:rsidRPr="00EA0548">
        <w:rPr>
          <w:rFonts w:ascii="Times New Roman"/>
          <w:sz w:val="24"/>
          <w:szCs w:val="24"/>
        </w:rPr>
        <w:t>军用装备多激振器振动试验方法</w:t>
      </w:r>
    </w:p>
    <w:p w14:paraId="5F3F8ED1" w14:textId="77777777" w:rsidR="00330F3D" w:rsidRPr="00EA0548" w:rsidRDefault="00000000">
      <w:pPr>
        <w:pStyle w:val="af8"/>
        <w:spacing w:line="360" w:lineRule="auto"/>
        <w:ind w:firstLine="480"/>
        <w:rPr>
          <w:rFonts w:ascii="Times New Roman"/>
          <w:sz w:val="24"/>
          <w:szCs w:val="24"/>
        </w:rPr>
      </w:pPr>
      <w:r w:rsidRPr="00EA0548">
        <w:rPr>
          <w:rFonts w:ascii="Times New Roman"/>
          <w:sz w:val="24"/>
          <w:szCs w:val="24"/>
        </w:rPr>
        <w:t xml:space="preserve">SY/T 5102    </w:t>
      </w:r>
      <w:r w:rsidRPr="00EA0548">
        <w:rPr>
          <w:rFonts w:ascii="Times New Roman"/>
          <w:sz w:val="24"/>
          <w:szCs w:val="24"/>
        </w:rPr>
        <w:t>石油勘探开发仪器基本环境试验方法</w:t>
      </w:r>
    </w:p>
    <w:p w14:paraId="2456D94B" w14:textId="77777777" w:rsidR="00330F3D" w:rsidRPr="00EA0548" w:rsidRDefault="00000000">
      <w:pPr>
        <w:pStyle w:val="af8"/>
        <w:spacing w:line="360" w:lineRule="auto"/>
        <w:ind w:firstLine="480"/>
        <w:rPr>
          <w:sz w:val="24"/>
          <w:szCs w:val="24"/>
        </w:rPr>
      </w:pPr>
      <w:r w:rsidRPr="00EA0548">
        <w:rPr>
          <w:rFonts w:ascii="Times New Roman"/>
          <w:color w:val="000000" w:themeColor="text1"/>
          <w:sz w:val="24"/>
          <w:szCs w:val="24"/>
        </w:rPr>
        <w:t xml:space="preserve">GF/T 197  </w:t>
      </w:r>
      <w:r w:rsidRPr="00EA0548">
        <w:rPr>
          <w:rFonts w:hint="eastAsia"/>
          <w:color w:val="000000" w:themeColor="text1"/>
          <w:sz w:val="24"/>
          <w:szCs w:val="24"/>
        </w:rPr>
        <w:t xml:space="preserve">   产品多台多轴振动试验方法</w:t>
      </w:r>
    </w:p>
    <w:p w14:paraId="32DAE545" w14:textId="77777777" w:rsidR="00330F3D" w:rsidRPr="00EA0548" w:rsidRDefault="00000000">
      <w:pPr>
        <w:pStyle w:val="2"/>
      </w:pPr>
      <w:r w:rsidRPr="00EA0548">
        <w:rPr>
          <w:rFonts w:hint="eastAsia"/>
        </w:rPr>
        <w:t xml:space="preserve">4.5 </w:t>
      </w:r>
      <w:r w:rsidRPr="00EA0548">
        <w:rPr>
          <w:rFonts w:hint="eastAsia"/>
        </w:rPr>
        <w:t>采标情况</w:t>
      </w:r>
    </w:p>
    <w:p w14:paraId="129A4570" w14:textId="410B5EF7" w:rsidR="00330F3D" w:rsidRPr="00EA0548" w:rsidRDefault="00000000">
      <w:pPr>
        <w:rPr>
          <w:rFonts w:ascii="宋体" w:hAnsi="宋体" w:hint="eastAsia"/>
        </w:rPr>
      </w:pPr>
      <w:r w:rsidRPr="00EA0548">
        <w:rPr>
          <w:rFonts w:ascii="宋体" w:hAnsi="宋体" w:hint="eastAsia"/>
        </w:rPr>
        <w:t>国内现有的</w:t>
      </w:r>
      <w:r w:rsidRPr="00EA0548">
        <w:rPr>
          <w:rFonts w:cs="Times New Roman"/>
        </w:rPr>
        <w:t xml:space="preserve">GB/T2423.62 </w:t>
      </w:r>
      <w:r w:rsidRPr="00EA0548">
        <w:rPr>
          <w:rFonts w:ascii="宋体" w:hAnsi="宋体" w:hint="eastAsia"/>
        </w:rPr>
        <w:t>和</w:t>
      </w:r>
      <w:r w:rsidRPr="00EA0548">
        <w:rPr>
          <w:rFonts w:cs="Times New Roman"/>
        </w:rPr>
        <w:t>GJB 8547</w:t>
      </w:r>
      <w:r w:rsidRPr="00EA0548">
        <w:rPr>
          <w:rFonts w:ascii="宋体" w:hAnsi="宋体" w:hint="eastAsia"/>
        </w:rPr>
        <w:t>标准规定了多个激振器在多输入多输出方面的试验要求，但其主要针对军工行业的导弹、卫星等类型产品，部分内容较为笼统，试验条件、方法等与石油导钻有较大差异，对石油领域产品试验指导</w:t>
      </w:r>
      <w:r w:rsidRPr="00EA0548">
        <w:rPr>
          <w:rFonts w:ascii="宋体" w:hAnsi="宋体" w:hint="eastAsia"/>
        </w:rPr>
        <w:lastRenderedPageBreak/>
        <w:t>可操作性性较弱，</w:t>
      </w:r>
      <w:r w:rsidR="003D52F7" w:rsidRPr="00EA0548">
        <w:rPr>
          <w:rFonts w:ascii="宋体" w:hAnsi="宋体" w:hint="eastAsia"/>
        </w:rPr>
        <w:t>本文件</w:t>
      </w:r>
      <w:r w:rsidRPr="00EA0548">
        <w:rPr>
          <w:rFonts w:ascii="宋体" w:hAnsi="宋体" w:hint="eastAsia"/>
        </w:rPr>
        <w:t>填补了石油导钻类产品在石油领域此类标准的空白。</w:t>
      </w:r>
    </w:p>
    <w:p w14:paraId="43668419" w14:textId="2D62B1EB" w:rsidR="00330F3D" w:rsidRPr="00EA0548" w:rsidRDefault="00000000">
      <w:pPr>
        <w:rPr>
          <w:rFonts w:cs="Times New Roman"/>
        </w:rPr>
      </w:pPr>
      <w:r w:rsidRPr="00EA0548">
        <w:rPr>
          <w:rFonts w:cs="Times New Roman" w:hint="eastAsia"/>
        </w:rPr>
        <w:t>试验环境要求和参试仪器设备部分参考了</w:t>
      </w:r>
      <w:r w:rsidRPr="00EA0548">
        <w:rPr>
          <w:rFonts w:cs="Times New Roman" w:hint="eastAsia"/>
        </w:rPr>
        <w:t>GB/T2423</w:t>
      </w:r>
      <w:r w:rsidRPr="00EA0548">
        <w:rPr>
          <w:rFonts w:cs="Times New Roman" w:hint="eastAsia"/>
        </w:rPr>
        <w:t>系列标准中对试验环境的要求；在试验条件制定方面，参考了石油行业现有的</w:t>
      </w:r>
      <w:r w:rsidRPr="00EA0548">
        <w:rPr>
          <w:rFonts w:cs="Times New Roman"/>
        </w:rPr>
        <w:t>SY/T 5102-2016</w:t>
      </w:r>
      <w:r w:rsidRPr="00EA0548">
        <w:rPr>
          <w:rFonts w:cs="Times New Roman" w:hint="eastAsia"/>
        </w:rPr>
        <w:t>和</w:t>
      </w:r>
      <w:r w:rsidRPr="00EA0548">
        <w:rPr>
          <w:rFonts w:cs="Times New Roman"/>
        </w:rPr>
        <w:t>GB/T 24262-2009</w:t>
      </w:r>
      <w:r w:rsidRPr="00EA0548">
        <w:rPr>
          <w:rFonts w:cs="Times New Roman" w:hint="eastAsia"/>
        </w:rPr>
        <w:t>中关于正弦振动试验条件和随机振动试验条件的推荐量值；在试验设备要求和试验允差方面部分参考了《</w:t>
      </w:r>
      <w:r w:rsidRPr="00EA0548">
        <w:rPr>
          <w:rFonts w:cs="Times New Roman"/>
        </w:rPr>
        <w:t xml:space="preserve">GJB 8547-2015  </w:t>
      </w:r>
      <w:r w:rsidRPr="00EA0548">
        <w:rPr>
          <w:rFonts w:cs="Times New Roman"/>
        </w:rPr>
        <w:t>军用装备多激振器振动试验方法</w:t>
      </w:r>
      <w:r w:rsidRPr="00EA0548">
        <w:rPr>
          <w:rFonts w:cs="Times New Roman" w:hint="eastAsia"/>
        </w:rPr>
        <w:t>》和《</w:t>
      </w:r>
      <w:r w:rsidRPr="00EA0548">
        <w:rPr>
          <w:rFonts w:cs="Times New Roman"/>
        </w:rPr>
        <w:t xml:space="preserve">GB/T 2423.62-2018 </w:t>
      </w:r>
      <w:r w:rsidRPr="00EA0548">
        <w:rPr>
          <w:rFonts w:cs="Times New Roman"/>
        </w:rPr>
        <w:t>环境试验</w:t>
      </w:r>
      <w:r w:rsidRPr="00EA0548">
        <w:rPr>
          <w:rFonts w:cs="Times New Roman"/>
        </w:rPr>
        <w:t xml:space="preserve"> </w:t>
      </w:r>
      <w:r w:rsidRPr="00EA0548">
        <w:rPr>
          <w:rFonts w:cs="Times New Roman"/>
        </w:rPr>
        <w:t>第</w:t>
      </w:r>
      <w:r w:rsidRPr="00EA0548">
        <w:rPr>
          <w:rFonts w:cs="Times New Roman"/>
        </w:rPr>
        <w:t>2</w:t>
      </w:r>
      <w:r w:rsidRPr="00EA0548">
        <w:rPr>
          <w:rFonts w:cs="Times New Roman"/>
        </w:rPr>
        <w:t>部分：试验方法</w:t>
      </w:r>
      <w:r w:rsidRPr="00EA0548">
        <w:rPr>
          <w:rFonts w:cs="Times New Roman"/>
        </w:rPr>
        <w:t xml:space="preserve"> </w:t>
      </w:r>
      <w:r w:rsidRPr="00EA0548">
        <w:rPr>
          <w:rFonts w:cs="Times New Roman"/>
        </w:rPr>
        <w:t>试验</w:t>
      </w:r>
      <w:proofErr w:type="spellStart"/>
      <w:r w:rsidRPr="00EA0548">
        <w:rPr>
          <w:rFonts w:cs="Times New Roman"/>
        </w:rPr>
        <w:t>Fx</w:t>
      </w:r>
      <w:proofErr w:type="spellEnd"/>
      <w:r w:rsidRPr="00EA0548">
        <w:rPr>
          <w:rFonts w:cs="Times New Roman"/>
        </w:rPr>
        <w:t>和导则：多输入多输出振动</w:t>
      </w:r>
      <w:r w:rsidRPr="00EA0548">
        <w:rPr>
          <w:rFonts w:cs="Times New Roman" w:hint="eastAsia"/>
        </w:rPr>
        <w:t>》。在参考各类国内相关标准基础上，分析了其相关要求在石油勘探领域的适用性，</w:t>
      </w:r>
      <w:r w:rsidRPr="00EA0548">
        <w:rPr>
          <w:rFonts w:cs="Times New Roman"/>
        </w:rPr>
        <w:t xml:space="preserve"> </w:t>
      </w:r>
      <w:r w:rsidRPr="00EA0548">
        <w:rPr>
          <w:rFonts w:cs="Times New Roman" w:hint="eastAsia"/>
        </w:rPr>
        <w:t>结合石油装备的自身特点和实际研制试验经验制定了本</w:t>
      </w:r>
      <w:r w:rsidR="003D52F7" w:rsidRPr="00EA0548">
        <w:rPr>
          <w:rFonts w:cs="Times New Roman" w:hint="eastAsia"/>
        </w:rPr>
        <w:t>文件</w:t>
      </w:r>
    </w:p>
    <w:p w14:paraId="4EE68594" w14:textId="77777777" w:rsidR="00330F3D" w:rsidRPr="00EA0548" w:rsidRDefault="00000000">
      <w:pPr>
        <w:pStyle w:val="1"/>
        <w:rPr>
          <w:rFonts w:cs="Times New Roman"/>
        </w:rPr>
      </w:pPr>
      <w:bookmarkStart w:id="33" w:name="_Toc195030366"/>
      <w:r w:rsidRPr="00EA0548">
        <w:rPr>
          <w:rFonts w:cs="Times New Roman"/>
        </w:rPr>
        <w:t xml:space="preserve">5. </w:t>
      </w:r>
      <w:r w:rsidRPr="00EA0548">
        <w:rPr>
          <w:rFonts w:cs="Times New Roman"/>
        </w:rPr>
        <w:t>与有关的现行法律、法规和强制性国家标准的关系</w:t>
      </w:r>
      <w:bookmarkEnd w:id="33"/>
    </w:p>
    <w:p w14:paraId="7C9F5814" w14:textId="20C844A5" w:rsidR="00330F3D" w:rsidRPr="00EA0548" w:rsidRDefault="003D52F7">
      <w:pPr>
        <w:rPr>
          <w:rFonts w:cs="Times New Roman"/>
        </w:rPr>
      </w:pPr>
      <w:r w:rsidRPr="00EA0548">
        <w:rPr>
          <w:rFonts w:cs="Times New Roman"/>
        </w:rPr>
        <w:t>本文件力求与其他现行国家标准的有关要求相协调，兼顾标准的可操作性和对产品要求的全面性。经分析，本文件与现行相关法律、法规、规章无不协调之处，且贯彻了我国的有关法律、法规和强制性国家标准，符合国标委《国家标准管理办法》等规章的规定。</w:t>
      </w:r>
    </w:p>
    <w:p w14:paraId="0802E4E4" w14:textId="7A07E9E8" w:rsidR="00330F3D" w:rsidRPr="00EA0548" w:rsidRDefault="003D52F7">
      <w:pPr>
        <w:rPr>
          <w:rFonts w:cs="Times New Roman"/>
        </w:rPr>
      </w:pPr>
      <w:r w:rsidRPr="00EA0548">
        <w:rPr>
          <w:rFonts w:cs="Times New Roman"/>
        </w:rPr>
        <w:t>本文件具有国际间领域通用性，兼容现有的双台振动技术相关</w:t>
      </w:r>
      <w:r w:rsidR="001D5311" w:rsidRPr="00EA0548">
        <w:rPr>
          <w:rFonts w:cs="Times New Roman" w:hint="eastAsia"/>
        </w:rPr>
        <w:t>试验方法</w:t>
      </w:r>
      <w:r w:rsidRPr="00EA0548">
        <w:rPr>
          <w:rFonts w:cs="Times New Roman"/>
        </w:rPr>
        <w:t>和标准；本</w:t>
      </w:r>
      <w:r w:rsidRPr="00EA0548">
        <w:rPr>
          <w:rFonts w:cs="Times New Roman" w:hint="eastAsia"/>
        </w:rPr>
        <w:t>文件</w:t>
      </w:r>
      <w:r w:rsidRPr="00EA0548">
        <w:rPr>
          <w:rFonts w:cs="Times New Roman"/>
        </w:rPr>
        <w:t>不同于目前正在编订的行业或企业标准。</w:t>
      </w:r>
    </w:p>
    <w:p w14:paraId="7213A869" w14:textId="77777777" w:rsidR="00330F3D" w:rsidRPr="00EA0548" w:rsidRDefault="00000000">
      <w:pPr>
        <w:pStyle w:val="1"/>
        <w:rPr>
          <w:rFonts w:cs="Times New Roman"/>
        </w:rPr>
      </w:pPr>
      <w:bookmarkStart w:id="34" w:name="_Toc195030367"/>
      <w:r w:rsidRPr="00EA0548">
        <w:rPr>
          <w:rFonts w:cs="Times New Roman"/>
        </w:rPr>
        <w:t xml:space="preserve">6. </w:t>
      </w:r>
      <w:r w:rsidRPr="00EA0548">
        <w:rPr>
          <w:rFonts w:cs="Times New Roman"/>
        </w:rPr>
        <w:t>重大分歧意见的处理经过和依据</w:t>
      </w:r>
      <w:bookmarkEnd w:id="34"/>
    </w:p>
    <w:p w14:paraId="7730BD13" w14:textId="3095DB1E" w:rsidR="00330F3D" w:rsidRPr="00EA0548" w:rsidRDefault="003D52F7">
      <w:pPr>
        <w:rPr>
          <w:rFonts w:cs="Times New Roman"/>
        </w:rPr>
      </w:pPr>
      <w:r w:rsidRPr="00EA0548">
        <w:rPr>
          <w:rFonts w:cs="Times New Roman"/>
        </w:rPr>
        <w:t>本文件编制过程中无重大分歧意见。</w:t>
      </w:r>
    </w:p>
    <w:p w14:paraId="23D288B3" w14:textId="77777777" w:rsidR="00330F3D" w:rsidRPr="00EA0548" w:rsidRDefault="00000000">
      <w:pPr>
        <w:pStyle w:val="1"/>
        <w:rPr>
          <w:rFonts w:cs="Times New Roman"/>
        </w:rPr>
      </w:pPr>
      <w:bookmarkStart w:id="35" w:name="_Toc195030368"/>
      <w:r w:rsidRPr="00EA0548">
        <w:rPr>
          <w:rFonts w:cs="Times New Roman"/>
        </w:rPr>
        <w:t xml:space="preserve">7. </w:t>
      </w:r>
      <w:r w:rsidRPr="00EA0548">
        <w:rPr>
          <w:rFonts w:cs="Times New Roman"/>
        </w:rPr>
        <w:t>标准性质的建议说明</w:t>
      </w:r>
      <w:bookmarkEnd w:id="35"/>
    </w:p>
    <w:p w14:paraId="5ED30C2C" w14:textId="2C40A47D" w:rsidR="00330F3D" w:rsidRPr="00EA0548" w:rsidRDefault="00000000">
      <w:pPr>
        <w:rPr>
          <w:rFonts w:cs="Times New Roman"/>
        </w:rPr>
      </w:pPr>
      <w:r w:rsidRPr="00EA0548">
        <w:rPr>
          <w:rFonts w:cs="Times New Roman"/>
        </w:rPr>
        <w:t>建议</w:t>
      </w:r>
      <w:r w:rsidR="003D52F7" w:rsidRPr="00EA0548">
        <w:rPr>
          <w:rFonts w:cs="Times New Roman"/>
        </w:rPr>
        <w:t>本文件</w:t>
      </w:r>
      <w:r w:rsidRPr="00EA0548">
        <w:rPr>
          <w:rFonts w:cs="Times New Roman"/>
        </w:rPr>
        <w:t>作为推荐性国际标准发布。</w:t>
      </w:r>
    </w:p>
    <w:p w14:paraId="6186E952" w14:textId="77777777" w:rsidR="00330F3D" w:rsidRPr="00EA0548" w:rsidRDefault="00000000">
      <w:pPr>
        <w:pStyle w:val="1"/>
        <w:rPr>
          <w:rFonts w:cs="Times New Roman"/>
        </w:rPr>
      </w:pPr>
      <w:bookmarkStart w:id="36" w:name="_Toc195030369"/>
      <w:r w:rsidRPr="00EA0548">
        <w:rPr>
          <w:rFonts w:cs="Times New Roman"/>
        </w:rPr>
        <w:t xml:space="preserve">8. </w:t>
      </w:r>
      <w:r w:rsidRPr="00EA0548">
        <w:rPr>
          <w:rFonts w:cs="Times New Roman"/>
        </w:rPr>
        <w:t>贯彻国家标准的要求和措施建议</w:t>
      </w:r>
      <w:bookmarkEnd w:id="36"/>
    </w:p>
    <w:p w14:paraId="0FB1D9DD" w14:textId="748EB4C7" w:rsidR="00330F3D" w:rsidRPr="00EA0548" w:rsidRDefault="00000000">
      <w:pPr>
        <w:rPr>
          <w:rFonts w:cs="Times New Roman"/>
        </w:rPr>
      </w:pPr>
      <w:r w:rsidRPr="00EA0548">
        <w:rPr>
          <w:rFonts w:cs="Times New Roman"/>
        </w:rPr>
        <w:t>建议</w:t>
      </w:r>
      <w:r w:rsidR="003D52F7" w:rsidRPr="00EA0548">
        <w:rPr>
          <w:rFonts w:cs="Times New Roman"/>
        </w:rPr>
        <w:t>本文件</w:t>
      </w:r>
      <w:r w:rsidRPr="00EA0548">
        <w:rPr>
          <w:rFonts w:cs="Times New Roman"/>
        </w:rPr>
        <w:t>发布之日起</w:t>
      </w:r>
      <w:r w:rsidRPr="00EA0548">
        <w:rPr>
          <w:rFonts w:cs="Times New Roman"/>
        </w:rPr>
        <w:t>6</w:t>
      </w:r>
      <w:r w:rsidRPr="00EA0548">
        <w:rPr>
          <w:rFonts w:cs="Times New Roman"/>
        </w:rPr>
        <w:t>个月后实施。</w:t>
      </w:r>
    </w:p>
    <w:p w14:paraId="34FFBC6B" w14:textId="77777777" w:rsidR="00330F3D" w:rsidRPr="00EA0548" w:rsidRDefault="00000000">
      <w:pPr>
        <w:pStyle w:val="1"/>
        <w:rPr>
          <w:rFonts w:cs="Times New Roman"/>
        </w:rPr>
      </w:pPr>
      <w:bookmarkStart w:id="37" w:name="_Toc195030370"/>
      <w:r w:rsidRPr="00EA0548">
        <w:rPr>
          <w:rFonts w:cs="Times New Roman"/>
        </w:rPr>
        <w:lastRenderedPageBreak/>
        <w:t xml:space="preserve">9. </w:t>
      </w:r>
      <w:r w:rsidRPr="00EA0548">
        <w:rPr>
          <w:rFonts w:cs="Times New Roman"/>
        </w:rPr>
        <w:t>废止现行有关标准的建议</w:t>
      </w:r>
      <w:bookmarkEnd w:id="37"/>
    </w:p>
    <w:p w14:paraId="51EC1323" w14:textId="7C2EC178" w:rsidR="00330F3D" w:rsidRPr="00EA0548" w:rsidRDefault="003D52F7">
      <w:pPr>
        <w:rPr>
          <w:rFonts w:cs="Times New Roman"/>
        </w:rPr>
      </w:pPr>
      <w:r w:rsidRPr="00EA0548">
        <w:rPr>
          <w:rFonts w:cs="Times New Roman"/>
        </w:rPr>
        <w:t>本文件为新制定标准，无废止相关标准的建议。</w:t>
      </w:r>
    </w:p>
    <w:p w14:paraId="68A6FD61" w14:textId="77777777" w:rsidR="00330F3D" w:rsidRPr="00EA0548" w:rsidRDefault="00000000">
      <w:pPr>
        <w:pStyle w:val="1"/>
        <w:rPr>
          <w:rFonts w:cs="Times New Roman"/>
        </w:rPr>
      </w:pPr>
      <w:bookmarkStart w:id="38" w:name="_Toc195030371"/>
      <w:r w:rsidRPr="00EA0548">
        <w:rPr>
          <w:rFonts w:cs="Times New Roman"/>
        </w:rPr>
        <w:t xml:space="preserve">10. </w:t>
      </w:r>
      <w:r w:rsidRPr="00EA0548">
        <w:rPr>
          <w:rFonts w:cs="Times New Roman"/>
        </w:rPr>
        <w:t>其他应予说明的事项</w:t>
      </w:r>
      <w:bookmarkEnd w:id="38"/>
    </w:p>
    <w:p w14:paraId="69536002" w14:textId="77777777" w:rsidR="00330F3D" w:rsidRDefault="00000000">
      <w:pPr>
        <w:rPr>
          <w:rFonts w:cs="Times New Roman"/>
        </w:rPr>
      </w:pPr>
      <w:r w:rsidRPr="00EA0548">
        <w:rPr>
          <w:rFonts w:cs="Times New Roman"/>
        </w:rPr>
        <w:t>无。</w:t>
      </w:r>
      <w:bookmarkEnd w:id="17"/>
    </w:p>
    <w:sectPr w:rsidR="00330F3D">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2F618" w14:textId="77777777" w:rsidR="00095079" w:rsidRDefault="00095079">
      <w:pPr>
        <w:spacing w:line="240" w:lineRule="auto"/>
      </w:pPr>
      <w:r>
        <w:separator/>
      </w:r>
    </w:p>
  </w:endnote>
  <w:endnote w:type="continuationSeparator" w:id="0">
    <w:p w14:paraId="18FA1940" w14:textId="77777777" w:rsidR="00095079" w:rsidRDefault="00095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FECF" w14:textId="77777777" w:rsidR="00330F3D" w:rsidRDefault="00330F3D">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B7ACE" w14:textId="77777777" w:rsidR="00330F3D" w:rsidRDefault="00330F3D">
    <w:pPr>
      <w:pStyle w:val="ab"/>
      <w:ind w:firstLine="360"/>
    </w:pPr>
  </w:p>
  <w:p w14:paraId="0ED30163" w14:textId="77777777" w:rsidR="00330F3D" w:rsidRDefault="00330F3D">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34F2E" w14:textId="77777777" w:rsidR="00330F3D" w:rsidRDefault="00330F3D">
    <w:pPr>
      <w:pStyle w:val="ab"/>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9761"/>
    </w:sdtPr>
    <w:sdtContent>
      <w:p w14:paraId="60EF8FFC" w14:textId="77777777" w:rsidR="00330F3D" w:rsidRDefault="00000000">
        <w:pPr>
          <w:pStyle w:val="ab"/>
          <w:ind w:firstLine="360"/>
          <w:jc w:val="center"/>
        </w:pPr>
        <w:r>
          <w:fldChar w:fldCharType="begin"/>
        </w:r>
        <w:r>
          <w:instrText>PAGE   \* MERGEFORMAT</w:instrText>
        </w:r>
        <w:r>
          <w:fldChar w:fldCharType="separate"/>
        </w:r>
        <w:r>
          <w:rPr>
            <w:lang w:val="zh-CN"/>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95119" w14:textId="77777777" w:rsidR="00095079" w:rsidRDefault="00095079">
      <w:r>
        <w:separator/>
      </w:r>
    </w:p>
  </w:footnote>
  <w:footnote w:type="continuationSeparator" w:id="0">
    <w:p w14:paraId="1D3C9AF6" w14:textId="77777777" w:rsidR="00095079" w:rsidRDefault="00095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916EF" w14:textId="77777777" w:rsidR="00330F3D" w:rsidRDefault="00330F3D">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3E157" w14:textId="77777777" w:rsidR="00330F3D" w:rsidRDefault="00330F3D">
    <w:pPr>
      <w:pStyle w:val="ad"/>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5D44" w14:textId="77777777" w:rsidR="00330F3D" w:rsidRDefault="00330F3D">
    <w:pPr>
      <w:pStyle w:val="ad"/>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AD6"/>
    <w:rsid w:val="00001232"/>
    <w:rsid w:val="00005EDA"/>
    <w:rsid w:val="000069E8"/>
    <w:rsid w:val="000122BF"/>
    <w:rsid w:val="00014715"/>
    <w:rsid w:val="00017D1D"/>
    <w:rsid w:val="000204F8"/>
    <w:rsid w:val="00025E80"/>
    <w:rsid w:val="00025F6B"/>
    <w:rsid w:val="00026760"/>
    <w:rsid w:val="00027A3D"/>
    <w:rsid w:val="00030EF5"/>
    <w:rsid w:val="0003162A"/>
    <w:rsid w:val="000366D8"/>
    <w:rsid w:val="00041B85"/>
    <w:rsid w:val="00042F33"/>
    <w:rsid w:val="000518FD"/>
    <w:rsid w:val="0005319A"/>
    <w:rsid w:val="00053C50"/>
    <w:rsid w:val="00056A78"/>
    <w:rsid w:val="00065C34"/>
    <w:rsid w:val="00077DB8"/>
    <w:rsid w:val="000800E3"/>
    <w:rsid w:val="00087071"/>
    <w:rsid w:val="000872DB"/>
    <w:rsid w:val="000872F4"/>
    <w:rsid w:val="00090C54"/>
    <w:rsid w:val="000921F2"/>
    <w:rsid w:val="0009501C"/>
    <w:rsid w:val="00095079"/>
    <w:rsid w:val="00095D63"/>
    <w:rsid w:val="000B2BCC"/>
    <w:rsid w:val="000B4305"/>
    <w:rsid w:val="000B4DA0"/>
    <w:rsid w:val="000B7280"/>
    <w:rsid w:val="000D3D64"/>
    <w:rsid w:val="000D4132"/>
    <w:rsid w:val="000D4556"/>
    <w:rsid w:val="000D5018"/>
    <w:rsid w:val="000E0BA5"/>
    <w:rsid w:val="000E270C"/>
    <w:rsid w:val="000E2958"/>
    <w:rsid w:val="000E4A2B"/>
    <w:rsid w:val="000E6D19"/>
    <w:rsid w:val="000E7499"/>
    <w:rsid w:val="000F1C83"/>
    <w:rsid w:val="000F4A93"/>
    <w:rsid w:val="000F7E27"/>
    <w:rsid w:val="00115685"/>
    <w:rsid w:val="001235C5"/>
    <w:rsid w:val="0012376B"/>
    <w:rsid w:val="00126FE0"/>
    <w:rsid w:val="00132D90"/>
    <w:rsid w:val="00136FD8"/>
    <w:rsid w:val="001376CA"/>
    <w:rsid w:val="00137D55"/>
    <w:rsid w:val="00137E4A"/>
    <w:rsid w:val="00140610"/>
    <w:rsid w:val="001450AF"/>
    <w:rsid w:val="001546FB"/>
    <w:rsid w:val="0015569C"/>
    <w:rsid w:val="00155F19"/>
    <w:rsid w:val="001577A2"/>
    <w:rsid w:val="00160A39"/>
    <w:rsid w:val="001631F0"/>
    <w:rsid w:val="001635D8"/>
    <w:rsid w:val="001705EF"/>
    <w:rsid w:val="00180525"/>
    <w:rsid w:val="001857BC"/>
    <w:rsid w:val="00187261"/>
    <w:rsid w:val="001953D4"/>
    <w:rsid w:val="00196103"/>
    <w:rsid w:val="00196970"/>
    <w:rsid w:val="00197FB6"/>
    <w:rsid w:val="001A1785"/>
    <w:rsid w:val="001A3503"/>
    <w:rsid w:val="001A4AC3"/>
    <w:rsid w:val="001B68EA"/>
    <w:rsid w:val="001C231F"/>
    <w:rsid w:val="001C3076"/>
    <w:rsid w:val="001C5650"/>
    <w:rsid w:val="001D3801"/>
    <w:rsid w:val="001D5311"/>
    <w:rsid w:val="001D5AFF"/>
    <w:rsid w:val="001D5CAA"/>
    <w:rsid w:val="001D78CB"/>
    <w:rsid w:val="001E1370"/>
    <w:rsid w:val="001E30DE"/>
    <w:rsid w:val="001E49AE"/>
    <w:rsid w:val="001E5428"/>
    <w:rsid w:val="001E7447"/>
    <w:rsid w:val="001F06DC"/>
    <w:rsid w:val="001F2976"/>
    <w:rsid w:val="001F3FDF"/>
    <w:rsid w:val="001F5A7E"/>
    <w:rsid w:val="001F73A1"/>
    <w:rsid w:val="002033ED"/>
    <w:rsid w:val="00210C93"/>
    <w:rsid w:val="002111FB"/>
    <w:rsid w:val="00211215"/>
    <w:rsid w:val="00216AA4"/>
    <w:rsid w:val="002217CB"/>
    <w:rsid w:val="0022543B"/>
    <w:rsid w:val="00236E42"/>
    <w:rsid w:val="00242E9D"/>
    <w:rsid w:val="00243E7A"/>
    <w:rsid w:val="00245A85"/>
    <w:rsid w:val="00246815"/>
    <w:rsid w:val="002477BA"/>
    <w:rsid w:val="00247ECC"/>
    <w:rsid w:val="00251EB6"/>
    <w:rsid w:val="00256102"/>
    <w:rsid w:val="002568D3"/>
    <w:rsid w:val="00256A42"/>
    <w:rsid w:val="002629FE"/>
    <w:rsid w:val="00262EB2"/>
    <w:rsid w:val="00265C9B"/>
    <w:rsid w:val="002708A3"/>
    <w:rsid w:val="00275F96"/>
    <w:rsid w:val="002766FE"/>
    <w:rsid w:val="00283367"/>
    <w:rsid w:val="002839C2"/>
    <w:rsid w:val="00290ACB"/>
    <w:rsid w:val="002A5B41"/>
    <w:rsid w:val="002B19F9"/>
    <w:rsid w:val="002B1D75"/>
    <w:rsid w:val="002B60F9"/>
    <w:rsid w:val="002C1C77"/>
    <w:rsid w:val="002C21F0"/>
    <w:rsid w:val="002C3DBD"/>
    <w:rsid w:val="002C47EE"/>
    <w:rsid w:val="002C4D93"/>
    <w:rsid w:val="002C5193"/>
    <w:rsid w:val="002C5B7E"/>
    <w:rsid w:val="002D735B"/>
    <w:rsid w:val="002F5530"/>
    <w:rsid w:val="002F57F9"/>
    <w:rsid w:val="002F5906"/>
    <w:rsid w:val="002F5DBA"/>
    <w:rsid w:val="00300A7A"/>
    <w:rsid w:val="00300F13"/>
    <w:rsid w:val="00304951"/>
    <w:rsid w:val="00304ED5"/>
    <w:rsid w:val="00307162"/>
    <w:rsid w:val="003110BB"/>
    <w:rsid w:val="00311E20"/>
    <w:rsid w:val="0031417A"/>
    <w:rsid w:val="0031667B"/>
    <w:rsid w:val="00317F4F"/>
    <w:rsid w:val="003211E9"/>
    <w:rsid w:val="00322E9B"/>
    <w:rsid w:val="00324084"/>
    <w:rsid w:val="003259C8"/>
    <w:rsid w:val="00330F3D"/>
    <w:rsid w:val="0033478B"/>
    <w:rsid w:val="00335C5D"/>
    <w:rsid w:val="00337CDA"/>
    <w:rsid w:val="00337CDD"/>
    <w:rsid w:val="00341CB1"/>
    <w:rsid w:val="00345981"/>
    <w:rsid w:val="00352BCF"/>
    <w:rsid w:val="003572F4"/>
    <w:rsid w:val="003622B0"/>
    <w:rsid w:val="00362820"/>
    <w:rsid w:val="00367468"/>
    <w:rsid w:val="0038011F"/>
    <w:rsid w:val="00382A45"/>
    <w:rsid w:val="00384DDA"/>
    <w:rsid w:val="00387593"/>
    <w:rsid w:val="00390D48"/>
    <w:rsid w:val="0039147A"/>
    <w:rsid w:val="003933A0"/>
    <w:rsid w:val="00394180"/>
    <w:rsid w:val="003970A6"/>
    <w:rsid w:val="00397192"/>
    <w:rsid w:val="003A0CD4"/>
    <w:rsid w:val="003A5265"/>
    <w:rsid w:val="003B1C3F"/>
    <w:rsid w:val="003B3CCA"/>
    <w:rsid w:val="003B730B"/>
    <w:rsid w:val="003B7A98"/>
    <w:rsid w:val="003C1CEE"/>
    <w:rsid w:val="003C31E3"/>
    <w:rsid w:val="003C6ED0"/>
    <w:rsid w:val="003D52F7"/>
    <w:rsid w:val="003D6405"/>
    <w:rsid w:val="003D692D"/>
    <w:rsid w:val="003E27D0"/>
    <w:rsid w:val="003E3CC8"/>
    <w:rsid w:val="003E5153"/>
    <w:rsid w:val="003E7E4E"/>
    <w:rsid w:val="003F2F68"/>
    <w:rsid w:val="003F31F4"/>
    <w:rsid w:val="003F42C3"/>
    <w:rsid w:val="003F5AC6"/>
    <w:rsid w:val="003F7A99"/>
    <w:rsid w:val="00406882"/>
    <w:rsid w:val="00406B33"/>
    <w:rsid w:val="004144DE"/>
    <w:rsid w:val="004148B8"/>
    <w:rsid w:val="004170B5"/>
    <w:rsid w:val="004246E5"/>
    <w:rsid w:val="00427161"/>
    <w:rsid w:val="004275AB"/>
    <w:rsid w:val="004334FF"/>
    <w:rsid w:val="00433891"/>
    <w:rsid w:val="0043557A"/>
    <w:rsid w:val="00444282"/>
    <w:rsid w:val="0044678D"/>
    <w:rsid w:val="004475CE"/>
    <w:rsid w:val="004511EA"/>
    <w:rsid w:val="004578C1"/>
    <w:rsid w:val="00463B03"/>
    <w:rsid w:val="004667FB"/>
    <w:rsid w:val="00466D9E"/>
    <w:rsid w:val="00471C6F"/>
    <w:rsid w:val="00472746"/>
    <w:rsid w:val="00474927"/>
    <w:rsid w:val="00477B55"/>
    <w:rsid w:val="00477EFF"/>
    <w:rsid w:val="004849C9"/>
    <w:rsid w:val="00491133"/>
    <w:rsid w:val="0049143A"/>
    <w:rsid w:val="0049377B"/>
    <w:rsid w:val="004959CC"/>
    <w:rsid w:val="004A03C3"/>
    <w:rsid w:val="004A0E39"/>
    <w:rsid w:val="004A4214"/>
    <w:rsid w:val="004A5CEF"/>
    <w:rsid w:val="004B07A8"/>
    <w:rsid w:val="004B10A8"/>
    <w:rsid w:val="004B58A4"/>
    <w:rsid w:val="004B6A3C"/>
    <w:rsid w:val="004B7921"/>
    <w:rsid w:val="004C31CF"/>
    <w:rsid w:val="004C7B78"/>
    <w:rsid w:val="004D0CD8"/>
    <w:rsid w:val="004D18E5"/>
    <w:rsid w:val="004D4976"/>
    <w:rsid w:val="004E0FA1"/>
    <w:rsid w:val="004E5573"/>
    <w:rsid w:val="004F20D7"/>
    <w:rsid w:val="004F253B"/>
    <w:rsid w:val="004F32F1"/>
    <w:rsid w:val="004F4DDB"/>
    <w:rsid w:val="004F7A76"/>
    <w:rsid w:val="0050317B"/>
    <w:rsid w:val="00507CA2"/>
    <w:rsid w:val="00511156"/>
    <w:rsid w:val="00513D75"/>
    <w:rsid w:val="00514DFF"/>
    <w:rsid w:val="00516C63"/>
    <w:rsid w:val="00522D24"/>
    <w:rsid w:val="0052509A"/>
    <w:rsid w:val="005350CC"/>
    <w:rsid w:val="0053590A"/>
    <w:rsid w:val="005378E8"/>
    <w:rsid w:val="00543705"/>
    <w:rsid w:val="00546344"/>
    <w:rsid w:val="00552DBB"/>
    <w:rsid w:val="00555387"/>
    <w:rsid w:val="00561F6F"/>
    <w:rsid w:val="00563876"/>
    <w:rsid w:val="00565B17"/>
    <w:rsid w:val="00573062"/>
    <w:rsid w:val="00586A3A"/>
    <w:rsid w:val="0058785D"/>
    <w:rsid w:val="005946B4"/>
    <w:rsid w:val="00594818"/>
    <w:rsid w:val="005967E4"/>
    <w:rsid w:val="005A021A"/>
    <w:rsid w:val="005A11DF"/>
    <w:rsid w:val="005B2FD2"/>
    <w:rsid w:val="005C1A55"/>
    <w:rsid w:val="005C3F07"/>
    <w:rsid w:val="005D0548"/>
    <w:rsid w:val="005D1D68"/>
    <w:rsid w:val="005D4EFF"/>
    <w:rsid w:val="005D57BA"/>
    <w:rsid w:val="005D61F7"/>
    <w:rsid w:val="005E0A8F"/>
    <w:rsid w:val="005E0F8C"/>
    <w:rsid w:val="005E1CFE"/>
    <w:rsid w:val="005E5A9B"/>
    <w:rsid w:val="005E5ADF"/>
    <w:rsid w:val="005E703A"/>
    <w:rsid w:val="005F01BD"/>
    <w:rsid w:val="005F0B69"/>
    <w:rsid w:val="005F5920"/>
    <w:rsid w:val="005F6AD6"/>
    <w:rsid w:val="00605BBD"/>
    <w:rsid w:val="00607093"/>
    <w:rsid w:val="00607887"/>
    <w:rsid w:val="00614363"/>
    <w:rsid w:val="00614685"/>
    <w:rsid w:val="00615C00"/>
    <w:rsid w:val="00617005"/>
    <w:rsid w:val="006218D6"/>
    <w:rsid w:val="00625443"/>
    <w:rsid w:val="0062549E"/>
    <w:rsid w:val="006255BA"/>
    <w:rsid w:val="00626023"/>
    <w:rsid w:val="00626753"/>
    <w:rsid w:val="00626D1F"/>
    <w:rsid w:val="00627432"/>
    <w:rsid w:val="0063168C"/>
    <w:rsid w:val="00636756"/>
    <w:rsid w:val="00637548"/>
    <w:rsid w:val="006405E0"/>
    <w:rsid w:val="006411DA"/>
    <w:rsid w:val="00642B3A"/>
    <w:rsid w:val="006545CE"/>
    <w:rsid w:val="006625E4"/>
    <w:rsid w:val="006666FC"/>
    <w:rsid w:val="00670A2A"/>
    <w:rsid w:val="006712CC"/>
    <w:rsid w:val="00671D29"/>
    <w:rsid w:val="0067275E"/>
    <w:rsid w:val="0068035F"/>
    <w:rsid w:val="006823ED"/>
    <w:rsid w:val="00685021"/>
    <w:rsid w:val="0068523E"/>
    <w:rsid w:val="0068581A"/>
    <w:rsid w:val="006870DE"/>
    <w:rsid w:val="006974B6"/>
    <w:rsid w:val="006978A9"/>
    <w:rsid w:val="006A3387"/>
    <w:rsid w:val="006A565E"/>
    <w:rsid w:val="006A6F26"/>
    <w:rsid w:val="006B3676"/>
    <w:rsid w:val="006B456A"/>
    <w:rsid w:val="006B4CE1"/>
    <w:rsid w:val="006B5AF1"/>
    <w:rsid w:val="006B6328"/>
    <w:rsid w:val="006B777C"/>
    <w:rsid w:val="006C0746"/>
    <w:rsid w:val="006C0A56"/>
    <w:rsid w:val="006C73AF"/>
    <w:rsid w:val="006D10A6"/>
    <w:rsid w:val="006D1E70"/>
    <w:rsid w:val="006D2033"/>
    <w:rsid w:val="006D55B5"/>
    <w:rsid w:val="006D5AC6"/>
    <w:rsid w:val="006D63B1"/>
    <w:rsid w:val="006E0C3C"/>
    <w:rsid w:val="006E5128"/>
    <w:rsid w:val="006F30FE"/>
    <w:rsid w:val="006F34A9"/>
    <w:rsid w:val="006F44AB"/>
    <w:rsid w:val="006F58A1"/>
    <w:rsid w:val="006F6BE6"/>
    <w:rsid w:val="007013F7"/>
    <w:rsid w:val="00705BA6"/>
    <w:rsid w:val="00710042"/>
    <w:rsid w:val="0071426D"/>
    <w:rsid w:val="0071707D"/>
    <w:rsid w:val="0072218A"/>
    <w:rsid w:val="0072680A"/>
    <w:rsid w:val="00727A0B"/>
    <w:rsid w:val="00727C92"/>
    <w:rsid w:val="0073029E"/>
    <w:rsid w:val="00730BDD"/>
    <w:rsid w:val="00732A06"/>
    <w:rsid w:val="00742AB8"/>
    <w:rsid w:val="00744BC0"/>
    <w:rsid w:val="00745AF4"/>
    <w:rsid w:val="0074703E"/>
    <w:rsid w:val="007506DB"/>
    <w:rsid w:val="0075085D"/>
    <w:rsid w:val="00750923"/>
    <w:rsid w:val="007524AD"/>
    <w:rsid w:val="00753BDA"/>
    <w:rsid w:val="00754AB4"/>
    <w:rsid w:val="00760BF7"/>
    <w:rsid w:val="00771ADD"/>
    <w:rsid w:val="00772EB8"/>
    <w:rsid w:val="0077650D"/>
    <w:rsid w:val="007803E4"/>
    <w:rsid w:val="00782064"/>
    <w:rsid w:val="007844EF"/>
    <w:rsid w:val="00785A47"/>
    <w:rsid w:val="00786B7E"/>
    <w:rsid w:val="00786BD0"/>
    <w:rsid w:val="00790790"/>
    <w:rsid w:val="00791EEB"/>
    <w:rsid w:val="007937D4"/>
    <w:rsid w:val="007958AA"/>
    <w:rsid w:val="00795D02"/>
    <w:rsid w:val="007A0627"/>
    <w:rsid w:val="007A3F51"/>
    <w:rsid w:val="007B0475"/>
    <w:rsid w:val="007B0DC3"/>
    <w:rsid w:val="007C0C9B"/>
    <w:rsid w:val="007C535E"/>
    <w:rsid w:val="007D1E41"/>
    <w:rsid w:val="007D2F66"/>
    <w:rsid w:val="007E0F85"/>
    <w:rsid w:val="007E4A42"/>
    <w:rsid w:val="007E5C82"/>
    <w:rsid w:val="007E63BE"/>
    <w:rsid w:val="007E771F"/>
    <w:rsid w:val="007F2B93"/>
    <w:rsid w:val="00803742"/>
    <w:rsid w:val="00804DA3"/>
    <w:rsid w:val="0080590A"/>
    <w:rsid w:val="0081087B"/>
    <w:rsid w:val="008218F3"/>
    <w:rsid w:val="00825544"/>
    <w:rsid w:val="0082767B"/>
    <w:rsid w:val="00830005"/>
    <w:rsid w:val="0084261F"/>
    <w:rsid w:val="008505B4"/>
    <w:rsid w:val="00850A90"/>
    <w:rsid w:val="00852847"/>
    <w:rsid w:val="00852E2E"/>
    <w:rsid w:val="008613A8"/>
    <w:rsid w:val="00862A00"/>
    <w:rsid w:val="00864F69"/>
    <w:rsid w:val="008653AD"/>
    <w:rsid w:val="008671CA"/>
    <w:rsid w:val="00870784"/>
    <w:rsid w:val="00871876"/>
    <w:rsid w:val="00872CE7"/>
    <w:rsid w:val="00874206"/>
    <w:rsid w:val="008769F4"/>
    <w:rsid w:val="00877A02"/>
    <w:rsid w:val="008808BF"/>
    <w:rsid w:val="00886FD4"/>
    <w:rsid w:val="00892362"/>
    <w:rsid w:val="00893281"/>
    <w:rsid w:val="008933C1"/>
    <w:rsid w:val="00896EAB"/>
    <w:rsid w:val="008A01DE"/>
    <w:rsid w:val="008A1876"/>
    <w:rsid w:val="008A2520"/>
    <w:rsid w:val="008B418A"/>
    <w:rsid w:val="008B4904"/>
    <w:rsid w:val="008C557B"/>
    <w:rsid w:val="008C55D0"/>
    <w:rsid w:val="008C599C"/>
    <w:rsid w:val="008C6E3C"/>
    <w:rsid w:val="008C6E84"/>
    <w:rsid w:val="008C7ED8"/>
    <w:rsid w:val="008D4508"/>
    <w:rsid w:val="008D517B"/>
    <w:rsid w:val="008D6BA1"/>
    <w:rsid w:val="008D7DFC"/>
    <w:rsid w:val="008E0925"/>
    <w:rsid w:val="008E0992"/>
    <w:rsid w:val="008E2C0D"/>
    <w:rsid w:val="008E4F4E"/>
    <w:rsid w:val="008E529B"/>
    <w:rsid w:val="008E742A"/>
    <w:rsid w:val="008E7A68"/>
    <w:rsid w:val="008F049B"/>
    <w:rsid w:val="008F391B"/>
    <w:rsid w:val="008F594E"/>
    <w:rsid w:val="008F698D"/>
    <w:rsid w:val="008F79ED"/>
    <w:rsid w:val="00902E50"/>
    <w:rsid w:val="00910ECF"/>
    <w:rsid w:val="00911CBB"/>
    <w:rsid w:val="0091263F"/>
    <w:rsid w:val="00920377"/>
    <w:rsid w:val="00922041"/>
    <w:rsid w:val="009328EA"/>
    <w:rsid w:val="009330CA"/>
    <w:rsid w:val="00943B0B"/>
    <w:rsid w:val="00946130"/>
    <w:rsid w:val="00947746"/>
    <w:rsid w:val="00947BBD"/>
    <w:rsid w:val="0095136C"/>
    <w:rsid w:val="00952B5B"/>
    <w:rsid w:val="0095465A"/>
    <w:rsid w:val="00960E3F"/>
    <w:rsid w:val="00962836"/>
    <w:rsid w:val="00965FBF"/>
    <w:rsid w:val="00967645"/>
    <w:rsid w:val="00977845"/>
    <w:rsid w:val="00986BFC"/>
    <w:rsid w:val="00990931"/>
    <w:rsid w:val="009A02BE"/>
    <w:rsid w:val="009A15D1"/>
    <w:rsid w:val="009A1A21"/>
    <w:rsid w:val="009A75C4"/>
    <w:rsid w:val="009B34C5"/>
    <w:rsid w:val="009D1495"/>
    <w:rsid w:val="009D192D"/>
    <w:rsid w:val="009D3C56"/>
    <w:rsid w:val="009E09A9"/>
    <w:rsid w:val="009E1844"/>
    <w:rsid w:val="009E7E16"/>
    <w:rsid w:val="009F531E"/>
    <w:rsid w:val="00A04714"/>
    <w:rsid w:val="00A07A37"/>
    <w:rsid w:val="00A10CED"/>
    <w:rsid w:val="00A116CA"/>
    <w:rsid w:val="00A14E1C"/>
    <w:rsid w:val="00A17D67"/>
    <w:rsid w:val="00A22365"/>
    <w:rsid w:val="00A239EF"/>
    <w:rsid w:val="00A2490A"/>
    <w:rsid w:val="00A278AD"/>
    <w:rsid w:val="00A31433"/>
    <w:rsid w:val="00A322BF"/>
    <w:rsid w:val="00A33FFA"/>
    <w:rsid w:val="00A36E18"/>
    <w:rsid w:val="00A41170"/>
    <w:rsid w:val="00A427D9"/>
    <w:rsid w:val="00A42E78"/>
    <w:rsid w:val="00A4648C"/>
    <w:rsid w:val="00A51D91"/>
    <w:rsid w:val="00A53B46"/>
    <w:rsid w:val="00A54984"/>
    <w:rsid w:val="00A56B20"/>
    <w:rsid w:val="00A5771D"/>
    <w:rsid w:val="00A60309"/>
    <w:rsid w:val="00A614F5"/>
    <w:rsid w:val="00A61776"/>
    <w:rsid w:val="00A62CAC"/>
    <w:rsid w:val="00A648F7"/>
    <w:rsid w:val="00A713F3"/>
    <w:rsid w:val="00A774FA"/>
    <w:rsid w:val="00A839E5"/>
    <w:rsid w:val="00A84498"/>
    <w:rsid w:val="00A85D8E"/>
    <w:rsid w:val="00A8661E"/>
    <w:rsid w:val="00A903AC"/>
    <w:rsid w:val="00A95D52"/>
    <w:rsid w:val="00AA0B00"/>
    <w:rsid w:val="00AA37AF"/>
    <w:rsid w:val="00AA71F5"/>
    <w:rsid w:val="00AA78C5"/>
    <w:rsid w:val="00AB0077"/>
    <w:rsid w:val="00AB0791"/>
    <w:rsid w:val="00AB472E"/>
    <w:rsid w:val="00AB5D49"/>
    <w:rsid w:val="00AB6A00"/>
    <w:rsid w:val="00AB7A50"/>
    <w:rsid w:val="00AC4664"/>
    <w:rsid w:val="00AD5CE9"/>
    <w:rsid w:val="00AE2406"/>
    <w:rsid w:val="00AE27D5"/>
    <w:rsid w:val="00AE2AA7"/>
    <w:rsid w:val="00AE7592"/>
    <w:rsid w:val="00AF255C"/>
    <w:rsid w:val="00B02629"/>
    <w:rsid w:val="00B04632"/>
    <w:rsid w:val="00B0533C"/>
    <w:rsid w:val="00B10837"/>
    <w:rsid w:val="00B1246C"/>
    <w:rsid w:val="00B12A92"/>
    <w:rsid w:val="00B12C69"/>
    <w:rsid w:val="00B12D26"/>
    <w:rsid w:val="00B1404D"/>
    <w:rsid w:val="00B14E1B"/>
    <w:rsid w:val="00B156E1"/>
    <w:rsid w:val="00B22D47"/>
    <w:rsid w:val="00B240C2"/>
    <w:rsid w:val="00B24ED6"/>
    <w:rsid w:val="00B304A8"/>
    <w:rsid w:val="00B30D6A"/>
    <w:rsid w:val="00B33401"/>
    <w:rsid w:val="00B33406"/>
    <w:rsid w:val="00B33A71"/>
    <w:rsid w:val="00B365EB"/>
    <w:rsid w:val="00B40C57"/>
    <w:rsid w:val="00B42014"/>
    <w:rsid w:val="00B4697F"/>
    <w:rsid w:val="00B46AB7"/>
    <w:rsid w:val="00B47B78"/>
    <w:rsid w:val="00B503B4"/>
    <w:rsid w:val="00B5102B"/>
    <w:rsid w:val="00B57C2E"/>
    <w:rsid w:val="00B6077D"/>
    <w:rsid w:val="00B65E8A"/>
    <w:rsid w:val="00B6722A"/>
    <w:rsid w:val="00B732DD"/>
    <w:rsid w:val="00B8474D"/>
    <w:rsid w:val="00B84AEB"/>
    <w:rsid w:val="00B90822"/>
    <w:rsid w:val="00B96774"/>
    <w:rsid w:val="00BA2FFE"/>
    <w:rsid w:val="00BB01D8"/>
    <w:rsid w:val="00BB25D9"/>
    <w:rsid w:val="00BB33F9"/>
    <w:rsid w:val="00BB3DDA"/>
    <w:rsid w:val="00BB5B78"/>
    <w:rsid w:val="00BC19C9"/>
    <w:rsid w:val="00BC2BD6"/>
    <w:rsid w:val="00BC2E47"/>
    <w:rsid w:val="00BC64FF"/>
    <w:rsid w:val="00BD1D45"/>
    <w:rsid w:val="00BD63EF"/>
    <w:rsid w:val="00BE36AC"/>
    <w:rsid w:val="00BE57CC"/>
    <w:rsid w:val="00BE5922"/>
    <w:rsid w:val="00BE73E7"/>
    <w:rsid w:val="00BF7F0E"/>
    <w:rsid w:val="00C029F1"/>
    <w:rsid w:val="00C111CF"/>
    <w:rsid w:val="00C12B0D"/>
    <w:rsid w:val="00C13023"/>
    <w:rsid w:val="00C16A12"/>
    <w:rsid w:val="00C22140"/>
    <w:rsid w:val="00C27869"/>
    <w:rsid w:val="00C32B05"/>
    <w:rsid w:val="00C33381"/>
    <w:rsid w:val="00C3389D"/>
    <w:rsid w:val="00C3737A"/>
    <w:rsid w:val="00C403DB"/>
    <w:rsid w:val="00C45ECA"/>
    <w:rsid w:val="00C502B4"/>
    <w:rsid w:val="00C52FEA"/>
    <w:rsid w:val="00C54B37"/>
    <w:rsid w:val="00C5599C"/>
    <w:rsid w:val="00C55E95"/>
    <w:rsid w:val="00C60C3A"/>
    <w:rsid w:val="00C610A7"/>
    <w:rsid w:val="00C62F7A"/>
    <w:rsid w:val="00C7581E"/>
    <w:rsid w:val="00C75F26"/>
    <w:rsid w:val="00C85697"/>
    <w:rsid w:val="00C878FF"/>
    <w:rsid w:val="00C92869"/>
    <w:rsid w:val="00C95047"/>
    <w:rsid w:val="00C95BBB"/>
    <w:rsid w:val="00CA10DB"/>
    <w:rsid w:val="00CA1E5C"/>
    <w:rsid w:val="00CA3961"/>
    <w:rsid w:val="00CB0358"/>
    <w:rsid w:val="00CB3B73"/>
    <w:rsid w:val="00CB5459"/>
    <w:rsid w:val="00CD0227"/>
    <w:rsid w:val="00CD323E"/>
    <w:rsid w:val="00CD5E87"/>
    <w:rsid w:val="00CD756F"/>
    <w:rsid w:val="00CE01F6"/>
    <w:rsid w:val="00CE086B"/>
    <w:rsid w:val="00CE1B25"/>
    <w:rsid w:val="00CE3FF9"/>
    <w:rsid w:val="00CE6631"/>
    <w:rsid w:val="00CE7E0F"/>
    <w:rsid w:val="00CF47D5"/>
    <w:rsid w:val="00CF73F9"/>
    <w:rsid w:val="00D0125E"/>
    <w:rsid w:val="00D021E1"/>
    <w:rsid w:val="00D04EE5"/>
    <w:rsid w:val="00D06CB8"/>
    <w:rsid w:val="00D119C5"/>
    <w:rsid w:val="00D11B07"/>
    <w:rsid w:val="00D13120"/>
    <w:rsid w:val="00D15285"/>
    <w:rsid w:val="00D15A07"/>
    <w:rsid w:val="00D205FE"/>
    <w:rsid w:val="00D22200"/>
    <w:rsid w:val="00D30661"/>
    <w:rsid w:val="00D309F3"/>
    <w:rsid w:val="00D33678"/>
    <w:rsid w:val="00D50A68"/>
    <w:rsid w:val="00D50E48"/>
    <w:rsid w:val="00D64D5F"/>
    <w:rsid w:val="00D65DBB"/>
    <w:rsid w:val="00D711C0"/>
    <w:rsid w:val="00D752F1"/>
    <w:rsid w:val="00D75C15"/>
    <w:rsid w:val="00D767A3"/>
    <w:rsid w:val="00D80ECA"/>
    <w:rsid w:val="00D8451B"/>
    <w:rsid w:val="00D866A3"/>
    <w:rsid w:val="00D90B95"/>
    <w:rsid w:val="00D927CA"/>
    <w:rsid w:val="00D92AFC"/>
    <w:rsid w:val="00D97C17"/>
    <w:rsid w:val="00DA0208"/>
    <w:rsid w:val="00DA2260"/>
    <w:rsid w:val="00DA29D1"/>
    <w:rsid w:val="00DA51A9"/>
    <w:rsid w:val="00DB6C73"/>
    <w:rsid w:val="00DC3429"/>
    <w:rsid w:val="00DD5499"/>
    <w:rsid w:val="00DD6D79"/>
    <w:rsid w:val="00DE1AB5"/>
    <w:rsid w:val="00DE258C"/>
    <w:rsid w:val="00DE5383"/>
    <w:rsid w:val="00DE6C76"/>
    <w:rsid w:val="00DF295F"/>
    <w:rsid w:val="00E00B8E"/>
    <w:rsid w:val="00E03047"/>
    <w:rsid w:val="00E04E19"/>
    <w:rsid w:val="00E055C8"/>
    <w:rsid w:val="00E05DA9"/>
    <w:rsid w:val="00E06D2B"/>
    <w:rsid w:val="00E10A10"/>
    <w:rsid w:val="00E140CD"/>
    <w:rsid w:val="00E14318"/>
    <w:rsid w:val="00E2083A"/>
    <w:rsid w:val="00E31F5D"/>
    <w:rsid w:val="00E324C3"/>
    <w:rsid w:val="00E36672"/>
    <w:rsid w:val="00E42C01"/>
    <w:rsid w:val="00E4444F"/>
    <w:rsid w:val="00E451AD"/>
    <w:rsid w:val="00E521ED"/>
    <w:rsid w:val="00E61F6D"/>
    <w:rsid w:val="00E66A3E"/>
    <w:rsid w:val="00E72BEB"/>
    <w:rsid w:val="00E72D8F"/>
    <w:rsid w:val="00E83440"/>
    <w:rsid w:val="00E83BA4"/>
    <w:rsid w:val="00E91B0F"/>
    <w:rsid w:val="00E96037"/>
    <w:rsid w:val="00E97828"/>
    <w:rsid w:val="00EA0548"/>
    <w:rsid w:val="00EA1A6F"/>
    <w:rsid w:val="00EA1C91"/>
    <w:rsid w:val="00EA2369"/>
    <w:rsid w:val="00EA3519"/>
    <w:rsid w:val="00EA3AF2"/>
    <w:rsid w:val="00EA4385"/>
    <w:rsid w:val="00EA48BC"/>
    <w:rsid w:val="00EA5B10"/>
    <w:rsid w:val="00EB2195"/>
    <w:rsid w:val="00EB5027"/>
    <w:rsid w:val="00EB61C6"/>
    <w:rsid w:val="00EB71C5"/>
    <w:rsid w:val="00EB7463"/>
    <w:rsid w:val="00EB75FC"/>
    <w:rsid w:val="00EC7D6F"/>
    <w:rsid w:val="00ED07A1"/>
    <w:rsid w:val="00ED106A"/>
    <w:rsid w:val="00ED6A3C"/>
    <w:rsid w:val="00EE1C4E"/>
    <w:rsid w:val="00EE57E4"/>
    <w:rsid w:val="00EF212F"/>
    <w:rsid w:val="00EF6F2B"/>
    <w:rsid w:val="00EF79D8"/>
    <w:rsid w:val="00F02591"/>
    <w:rsid w:val="00F0270A"/>
    <w:rsid w:val="00F02F25"/>
    <w:rsid w:val="00F110F1"/>
    <w:rsid w:val="00F22E44"/>
    <w:rsid w:val="00F23A58"/>
    <w:rsid w:val="00F24FB5"/>
    <w:rsid w:val="00F27E8B"/>
    <w:rsid w:val="00F31E03"/>
    <w:rsid w:val="00F35545"/>
    <w:rsid w:val="00F35920"/>
    <w:rsid w:val="00F45DFE"/>
    <w:rsid w:val="00F5188E"/>
    <w:rsid w:val="00F52780"/>
    <w:rsid w:val="00F613CA"/>
    <w:rsid w:val="00F63114"/>
    <w:rsid w:val="00F702E7"/>
    <w:rsid w:val="00F73327"/>
    <w:rsid w:val="00F84E58"/>
    <w:rsid w:val="00F85E4C"/>
    <w:rsid w:val="00F973B4"/>
    <w:rsid w:val="00FA3D98"/>
    <w:rsid w:val="00FA3F68"/>
    <w:rsid w:val="00FA6C9F"/>
    <w:rsid w:val="00FB10CB"/>
    <w:rsid w:val="00FB347C"/>
    <w:rsid w:val="00FB4BAA"/>
    <w:rsid w:val="00FB4CF4"/>
    <w:rsid w:val="00FC2CBC"/>
    <w:rsid w:val="00FC497F"/>
    <w:rsid w:val="00FC79FE"/>
    <w:rsid w:val="00FD0118"/>
    <w:rsid w:val="00FD259D"/>
    <w:rsid w:val="00FD34C5"/>
    <w:rsid w:val="00FD41E7"/>
    <w:rsid w:val="00FD4338"/>
    <w:rsid w:val="00FD4416"/>
    <w:rsid w:val="00FD5131"/>
    <w:rsid w:val="00FE1FC4"/>
    <w:rsid w:val="00FE69B1"/>
    <w:rsid w:val="0124215E"/>
    <w:rsid w:val="01641677"/>
    <w:rsid w:val="01BB3CD7"/>
    <w:rsid w:val="021358C1"/>
    <w:rsid w:val="040C6DBD"/>
    <w:rsid w:val="042F056F"/>
    <w:rsid w:val="04505BCE"/>
    <w:rsid w:val="045D670B"/>
    <w:rsid w:val="05516629"/>
    <w:rsid w:val="0900230B"/>
    <w:rsid w:val="0AA35602"/>
    <w:rsid w:val="0B3B78AE"/>
    <w:rsid w:val="0C241469"/>
    <w:rsid w:val="0C284388"/>
    <w:rsid w:val="0C3E4E1D"/>
    <w:rsid w:val="0CAD0AD3"/>
    <w:rsid w:val="0DE916F2"/>
    <w:rsid w:val="0EEC0A63"/>
    <w:rsid w:val="104F5665"/>
    <w:rsid w:val="11934328"/>
    <w:rsid w:val="12622CDB"/>
    <w:rsid w:val="13860C3B"/>
    <w:rsid w:val="145271E3"/>
    <w:rsid w:val="14F32F35"/>
    <w:rsid w:val="15051099"/>
    <w:rsid w:val="15E50ECA"/>
    <w:rsid w:val="166A23E4"/>
    <w:rsid w:val="1ABA60A6"/>
    <w:rsid w:val="1ACB4284"/>
    <w:rsid w:val="1ADE3121"/>
    <w:rsid w:val="1BAD39B9"/>
    <w:rsid w:val="1C4E3755"/>
    <w:rsid w:val="1D207356"/>
    <w:rsid w:val="1D223418"/>
    <w:rsid w:val="1F264229"/>
    <w:rsid w:val="1F516E2C"/>
    <w:rsid w:val="1F7C1692"/>
    <w:rsid w:val="1FA6387D"/>
    <w:rsid w:val="1FCF6E73"/>
    <w:rsid w:val="204107D8"/>
    <w:rsid w:val="254B39BE"/>
    <w:rsid w:val="26AB6DE5"/>
    <w:rsid w:val="27157D3C"/>
    <w:rsid w:val="2AF9558E"/>
    <w:rsid w:val="2B4B4381"/>
    <w:rsid w:val="2C8A488C"/>
    <w:rsid w:val="2CC3566A"/>
    <w:rsid w:val="2CED4E9A"/>
    <w:rsid w:val="2D8632F5"/>
    <w:rsid w:val="2E303E69"/>
    <w:rsid w:val="31E57B5F"/>
    <w:rsid w:val="33F7539F"/>
    <w:rsid w:val="36B047B4"/>
    <w:rsid w:val="3732168A"/>
    <w:rsid w:val="37D01B15"/>
    <w:rsid w:val="38810F06"/>
    <w:rsid w:val="3B547B67"/>
    <w:rsid w:val="3E6515C4"/>
    <w:rsid w:val="3EDB4A95"/>
    <w:rsid w:val="4024421A"/>
    <w:rsid w:val="414D154E"/>
    <w:rsid w:val="416F3BBA"/>
    <w:rsid w:val="431F750D"/>
    <w:rsid w:val="44A64D43"/>
    <w:rsid w:val="44D95A11"/>
    <w:rsid w:val="461B7E6D"/>
    <w:rsid w:val="465B00DC"/>
    <w:rsid w:val="470508B9"/>
    <w:rsid w:val="492D571F"/>
    <w:rsid w:val="49375B02"/>
    <w:rsid w:val="4BC65620"/>
    <w:rsid w:val="4C474395"/>
    <w:rsid w:val="4D1F6542"/>
    <w:rsid w:val="4D5E3982"/>
    <w:rsid w:val="506F7A0F"/>
    <w:rsid w:val="5074340D"/>
    <w:rsid w:val="5088401E"/>
    <w:rsid w:val="531743BB"/>
    <w:rsid w:val="533A1C65"/>
    <w:rsid w:val="53733096"/>
    <w:rsid w:val="57720811"/>
    <w:rsid w:val="586C6A21"/>
    <w:rsid w:val="587C29ED"/>
    <w:rsid w:val="58A35588"/>
    <w:rsid w:val="59B764F7"/>
    <w:rsid w:val="5C99792E"/>
    <w:rsid w:val="5CC04E72"/>
    <w:rsid w:val="62437149"/>
    <w:rsid w:val="632D7F86"/>
    <w:rsid w:val="654E59FD"/>
    <w:rsid w:val="667E230B"/>
    <w:rsid w:val="67CC6DC1"/>
    <w:rsid w:val="68737A77"/>
    <w:rsid w:val="688A4CB2"/>
    <w:rsid w:val="6A480143"/>
    <w:rsid w:val="6A6C40B8"/>
    <w:rsid w:val="6D242A9A"/>
    <w:rsid w:val="6D853C9A"/>
    <w:rsid w:val="6E001573"/>
    <w:rsid w:val="6EE132F8"/>
    <w:rsid w:val="6F0E49E4"/>
    <w:rsid w:val="6FBF0263"/>
    <w:rsid w:val="73AA738F"/>
    <w:rsid w:val="7494275B"/>
    <w:rsid w:val="749F4A62"/>
    <w:rsid w:val="75857718"/>
    <w:rsid w:val="75D827AD"/>
    <w:rsid w:val="787768D5"/>
    <w:rsid w:val="7BC53D35"/>
    <w:rsid w:val="7D551F26"/>
    <w:rsid w:val="7E905C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411685"/>
  <w15:docId w15:val="{0B55B266-1AC8-4631-B5CF-D38A8D672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480"/>
      <w:jc w:val="both"/>
    </w:pPr>
    <w:rPr>
      <w:rFonts w:cstheme="minorBidi"/>
      <w:kern w:val="2"/>
      <w:sz w:val="24"/>
      <w:szCs w:val="22"/>
    </w:rPr>
  </w:style>
  <w:style w:type="paragraph" w:styleId="1">
    <w:name w:val="heading 1"/>
    <w:basedOn w:val="a"/>
    <w:next w:val="a"/>
    <w:link w:val="10"/>
    <w:uiPriority w:val="9"/>
    <w:qFormat/>
    <w:pPr>
      <w:keepNext/>
      <w:keepLines/>
      <w:spacing w:before="240" w:after="240"/>
      <w:ind w:firstLineChars="0" w:firstLine="0"/>
      <w:jc w:val="left"/>
      <w:outlineLvl w:val="0"/>
    </w:pPr>
    <w:rPr>
      <w:b/>
      <w:bCs/>
      <w:kern w:val="44"/>
      <w:sz w:val="32"/>
      <w:szCs w:val="44"/>
    </w:rPr>
  </w:style>
  <w:style w:type="paragraph" w:styleId="2">
    <w:name w:val="heading 2"/>
    <w:basedOn w:val="a"/>
    <w:next w:val="a"/>
    <w:link w:val="20"/>
    <w:uiPriority w:val="9"/>
    <w:unhideWhenUsed/>
    <w:qFormat/>
    <w:pPr>
      <w:keepNext/>
      <w:keepLines/>
      <w:spacing w:before="120" w:after="120"/>
      <w:ind w:firstLineChars="0" w:firstLine="0"/>
      <w:outlineLvl w:val="1"/>
    </w:pPr>
    <w:rPr>
      <w:rFonts w:cstheme="majorBidi"/>
      <w:b/>
      <w:bCs/>
      <w:sz w:val="28"/>
      <w:szCs w:val="32"/>
    </w:rPr>
  </w:style>
  <w:style w:type="paragraph" w:styleId="3">
    <w:name w:val="heading 3"/>
    <w:basedOn w:val="2"/>
    <w:next w:val="a"/>
    <w:link w:val="30"/>
    <w:uiPriority w:val="9"/>
    <w:unhideWhenUsed/>
    <w:qFormat/>
    <w:pPr>
      <w:outlineLvl w:val="2"/>
    </w:pPr>
    <w:rPr>
      <w:rFonts w:cs="Times New Roman"/>
      <w:sz w:val="24"/>
      <w:szCs w:val="24"/>
    </w:rPr>
  </w:style>
  <w:style w:type="paragraph" w:styleId="4">
    <w:name w:val="heading 4"/>
    <w:basedOn w:val="a"/>
    <w:next w:val="a"/>
    <w:uiPriority w:val="9"/>
    <w:semiHidden/>
    <w:unhideWhenUsed/>
    <w:qFormat/>
    <w:pPr>
      <w:spacing w:beforeAutospacing="1" w:afterAutospacing="1"/>
      <w:jc w:val="left"/>
      <w:outlineLvl w:val="3"/>
    </w:pPr>
    <w:rPr>
      <w:rFonts w:ascii="宋体" w:hAnsi="宋体" w:cs="Times New Roman" w:hint="eastAsia"/>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link w:val="a6"/>
    <w:uiPriority w:val="99"/>
    <w:semiHidden/>
    <w:unhideWhenUsed/>
    <w:qFormat/>
    <w:pPr>
      <w:jc w:val="left"/>
    </w:pPr>
  </w:style>
  <w:style w:type="paragraph" w:styleId="TOC3">
    <w:name w:val="toc 3"/>
    <w:basedOn w:val="a"/>
    <w:next w:val="a"/>
    <w:uiPriority w:val="39"/>
    <w:unhideWhenUsed/>
    <w:qFormat/>
    <w:pPr>
      <w:ind w:leftChars="400" w:left="840"/>
    </w:pPr>
  </w:style>
  <w:style w:type="paragraph" w:styleId="a7">
    <w:name w:val="Date"/>
    <w:basedOn w:val="a"/>
    <w:next w:val="a"/>
    <w:link w:val="a8"/>
    <w:uiPriority w:val="99"/>
    <w:semiHidden/>
    <w:unhideWhenUsed/>
    <w:qFormat/>
    <w:pPr>
      <w:ind w:leftChars="2500" w:left="100"/>
    </w:pPr>
  </w:style>
  <w:style w:type="paragraph" w:styleId="21">
    <w:name w:val="Body Text Indent 2"/>
    <w:basedOn w:val="a"/>
    <w:link w:val="22"/>
    <w:qFormat/>
    <w:pPr>
      <w:spacing w:after="120" w:line="480" w:lineRule="auto"/>
      <w:ind w:leftChars="200" w:left="420" w:firstLineChars="0" w:firstLine="0"/>
    </w:pPr>
    <w:rPr>
      <w:rFonts w:cs="Times New Roman"/>
      <w:sz w:val="21"/>
      <w:szCs w:val="24"/>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f">
    <w:name w:val="Normal (Web)"/>
    <w:basedOn w:val="a"/>
    <w:uiPriority w:val="99"/>
    <w:unhideWhenUsed/>
    <w:qFormat/>
    <w:pPr>
      <w:widowControl/>
      <w:spacing w:before="100" w:beforeAutospacing="1" w:after="100" w:afterAutospacing="1"/>
      <w:jc w:val="left"/>
    </w:pPr>
    <w:rPr>
      <w:rFonts w:ascii="宋体" w:hAnsi="宋体" w:cs="宋体"/>
      <w:kern w:val="0"/>
      <w:szCs w:val="24"/>
    </w:rPr>
  </w:style>
  <w:style w:type="paragraph" w:styleId="af0">
    <w:name w:val="annotation subject"/>
    <w:basedOn w:val="a5"/>
    <w:next w:val="a5"/>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22"/>
    <w:qFormat/>
    <w:rPr>
      <w:b/>
    </w:rPr>
  </w:style>
  <w:style w:type="character" w:styleId="af4">
    <w:name w:val="Hyperlink"/>
    <w:basedOn w:val="a0"/>
    <w:uiPriority w:val="99"/>
    <w:unhideWhenUsed/>
    <w:qFormat/>
    <w:rPr>
      <w:color w:val="0563C1" w:themeColor="hyperlink"/>
      <w:u w:val="single"/>
    </w:rPr>
  </w:style>
  <w:style w:type="character" w:styleId="af5">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rPr>
      <w:rFonts w:ascii="Times New Roman" w:eastAsia="宋体" w:hAnsi="Times New Roman"/>
      <w:sz w:val="24"/>
    </w:rPr>
  </w:style>
  <w:style w:type="character" w:customStyle="1" w:styleId="10">
    <w:name w:val="标题 1 字符"/>
    <w:basedOn w:val="a0"/>
    <w:link w:val="1"/>
    <w:uiPriority w:val="9"/>
    <w:qFormat/>
    <w:rPr>
      <w:rFonts w:cstheme="minorBidi"/>
      <w:b/>
      <w:bCs/>
      <w:kern w:val="44"/>
      <w:sz w:val="32"/>
      <w:szCs w:val="44"/>
    </w:rPr>
  </w:style>
  <w:style w:type="character" w:customStyle="1" w:styleId="20">
    <w:name w:val="标题 2 字符"/>
    <w:basedOn w:val="a0"/>
    <w:link w:val="2"/>
    <w:uiPriority w:val="9"/>
    <w:qFormat/>
    <w:rPr>
      <w:rFonts w:cstheme="majorBidi"/>
      <w:b/>
      <w:bCs/>
      <w:kern w:val="2"/>
      <w:sz w:val="28"/>
      <w:szCs w:val="32"/>
    </w:rPr>
  </w:style>
  <w:style w:type="character" w:customStyle="1" w:styleId="ae">
    <w:name w:val="页眉 字符"/>
    <w:basedOn w:val="a0"/>
    <w:link w:val="ad"/>
    <w:uiPriority w:val="99"/>
    <w:qFormat/>
    <w:rPr>
      <w:rFonts w:ascii="Times New Roman" w:eastAsia="宋体" w:hAnsi="Times New Roman"/>
      <w:sz w:val="18"/>
      <w:szCs w:val="18"/>
    </w:rPr>
  </w:style>
  <w:style w:type="character" w:customStyle="1" w:styleId="ac">
    <w:name w:val="页脚 字符"/>
    <w:basedOn w:val="a0"/>
    <w:link w:val="ab"/>
    <w:uiPriority w:val="99"/>
    <w:qFormat/>
    <w:rPr>
      <w:rFonts w:ascii="Times New Roman" w:eastAsia="宋体" w:hAnsi="Times New Roman"/>
      <w:sz w:val="18"/>
      <w:szCs w:val="18"/>
    </w:rPr>
  </w:style>
  <w:style w:type="paragraph" w:customStyle="1" w:styleId="TOC10">
    <w:name w:val="TOC 标题1"/>
    <w:basedOn w:val="1"/>
    <w:next w:val="a"/>
    <w:uiPriority w:val="39"/>
    <w:unhideWhenUsed/>
    <w:qFormat/>
    <w:pPr>
      <w:widowControl/>
      <w:spacing w:after="0" w:line="259" w:lineRule="auto"/>
      <w:outlineLvl w:val="9"/>
    </w:pPr>
    <w:rPr>
      <w:rFonts w:asciiTheme="majorHAnsi" w:eastAsiaTheme="majorEastAsia" w:hAnsiTheme="majorHAnsi" w:cstheme="majorBidi"/>
      <w:b w:val="0"/>
      <w:bCs w:val="0"/>
      <w:color w:val="2F5496" w:themeColor="accent1" w:themeShade="BF"/>
      <w:kern w:val="0"/>
      <w:szCs w:val="32"/>
    </w:rPr>
  </w:style>
  <w:style w:type="character" w:customStyle="1" w:styleId="aa">
    <w:name w:val="批注框文本 字符"/>
    <w:basedOn w:val="a0"/>
    <w:link w:val="a9"/>
    <w:uiPriority w:val="99"/>
    <w:semiHidden/>
    <w:qFormat/>
    <w:rPr>
      <w:rFonts w:ascii="Times New Roman" w:eastAsia="宋体" w:hAnsi="Times New Roman"/>
      <w:sz w:val="18"/>
      <w:szCs w:val="18"/>
    </w:rPr>
  </w:style>
  <w:style w:type="paragraph" w:styleId="af6">
    <w:name w:val="List Paragraph"/>
    <w:basedOn w:val="a"/>
    <w:uiPriority w:val="34"/>
    <w:qFormat/>
    <w:pPr>
      <w:ind w:firstLine="420"/>
    </w:pPr>
  </w:style>
  <w:style w:type="character" w:customStyle="1" w:styleId="a4">
    <w:name w:val="文档结构图 字符"/>
    <w:basedOn w:val="a0"/>
    <w:link w:val="a3"/>
    <w:uiPriority w:val="99"/>
    <w:semiHidden/>
    <w:qFormat/>
    <w:rPr>
      <w:rFonts w:ascii="宋体" w:eastAsia="宋体" w:hAnsi="Times New Roman"/>
      <w:sz w:val="18"/>
      <w:szCs w:val="18"/>
    </w:rPr>
  </w:style>
  <w:style w:type="character" w:customStyle="1" w:styleId="a6">
    <w:name w:val="批注文字 字符"/>
    <w:basedOn w:val="a0"/>
    <w:link w:val="a5"/>
    <w:uiPriority w:val="99"/>
    <w:semiHidden/>
    <w:qFormat/>
    <w:rPr>
      <w:rFonts w:ascii="Times New Roman" w:eastAsia="宋体" w:hAnsi="Times New Roman"/>
      <w:sz w:val="24"/>
    </w:rPr>
  </w:style>
  <w:style w:type="character" w:customStyle="1" w:styleId="af1">
    <w:name w:val="批注主题 字符"/>
    <w:basedOn w:val="a6"/>
    <w:link w:val="af0"/>
    <w:uiPriority w:val="99"/>
    <w:semiHidden/>
    <w:qFormat/>
    <w:rPr>
      <w:rFonts w:ascii="Times New Roman" w:eastAsia="宋体" w:hAnsi="Times New Roman"/>
      <w:b/>
      <w:bCs/>
      <w:sz w:val="24"/>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11">
    <w:name w:val="font11"/>
    <w:basedOn w:val="a0"/>
    <w:qFormat/>
    <w:rPr>
      <w:rFonts w:ascii="Times New Roman" w:hAnsi="Times New Roman" w:cs="Times New Roman" w:hint="default"/>
      <w:color w:val="000000"/>
      <w:sz w:val="24"/>
      <w:szCs w:val="24"/>
      <w:u w:val="none"/>
    </w:rPr>
  </w:style>
  <w:style w:type="paragraph" w:customStyle="1" w:styleId="af7">
    <w:name w:val="标准文件_封面标准名称"/>
    <w:basedOn w:val="a"/>
    <w:qFormat/>
    <w:pPr>
      <w:spacing w:beforeLines="100" w:before="100" w:line="500" w:lineRule="exact"/>
      <w:jc w:val="center"/>
    </w:pPr>
    <w:rPr>
      <w:rFonts w:ascii="黑体" w:eastAsia="黑体"/>
      <w:kern w:val="0"/>
      <w:sz w:val="52"/>
    </w:rPr>
  </w:style>
  <w:style w:type="paragraph" w:customStyle="1" w:styleId="af8">
    <w:name w:val="标准文件_段"/>
    <w:qFormat/>
    <w:pPr>
      <w:autoSpaceDE w:val="0"/>
      <w:autoSpaceDN w:val="0"/>
      <w:ind w:firstLineChars="200" w:firstLine="200"/>
      <w:jc w:val="both"/>
    </w:pPr>
    <w:rPr>
      <w:rFonts w:ascii="宋体"/>
      <w:sz w:val="21"/>
    </w:rPr>
  </w:style>
  <w:style w:type="character" w:customStyle="1" w:styleId="30">
    <w:name w:val="标题 3 字符"/>
    <w:link w:val="3"/>
    <w:uiPriority w:val="9"/>
    <w:qFormat/>
    <w:rPr>
      <w:b/>
      <w:bCs/>
      <w:kern w:val="2"/>
      <w:sz w:val="24"/>
      <w:szCs w:val="24"/>
    </w:rPr>
  </w:style>
  <w:style w:type="paragraph" w:customStyle="1" w:styleId="af9">
    <w:name w:val="段"/>
    <w:qFormat/>
    <w:pPr>
      <w:tabs>
        <w:tab w:val="center" w:pos="4201"/>
        <w:tab w:val="right" w:leader="dot" w:pos="9298"/>
      </w:tabs>
      <w:autoSpaceDE w:val="0"/>
      <w:autoSpaceDN w:val="0"/>
      <w:spacing w:line="360" w:lineRule="auto"/>
      <w:ind w:firstLineChars="200" w:firstLine="420"/>
      <w:jc w:val="both"/>
    </w:pPr>
    <w:rPr>
      <w:rFonts w:ascii="宋体"/>
      <w:sz w:val="21"/>
    </w:rPr>
  </w:style>
  <w:style w:type="paragraph" w:customStyle="1" w:styleId="TOC20">
    <w:name w:val="TOC 标题2"/>
    <w:basedOn w:val="1"/>
    <w:next w:val="a"/>
    <w:uiPriority w:val="39"/>
    <w:unhideWhenUsed/>
    <w:qFormat/>
    <w:pPr>
      <w:widowControl/>
      <w:spacing w:after="0" w:line="259" w:lineRule="auto"/>
      <w:outlineLvl w:val="9"/>
    </w:pPr>
    <w:rPr>
      <w:rFonts w:asciiTheme="majorHAnsi" w:eastAsiaTheme="majorEastAsia" w:hAnsiTheme="majorHAnsi" w:cstheme="majorBidi"/>
      <w:b w:val="0"/>
      <w:bCs w:val="0"/>
      <w:color w:val="2F5496" w:themeColor="accent1" w:themeShade="BF"/>
      <w:kern w:val="0"/>
      <w:szCs w:val="32"/>
    </w:rPr>
  </w:style>
  <w:style w:type="paragraph" w:customStyle="1" w:styleId="11">
    <w:name w:val="修订1"/>
    <w:hidden/>
    <w:uiPriority w:val="99"/>
    <w:semiHidden/>
    <w:qFormat/>
    <w:rPr>
      <w:rFonts w:cstheme="minorBidi"/>
      <w:kern w:val="2"/>
      <w:sz w:val="24"/>
      <w:szCs w:val="22"/>
    </w:rPr>
  </w:style>
  <w:style w:type="character" w:customStyle="1" w:styleId="22">
    <w:name w:val="正文文本缩进 2 字符"/>
    <w:basedOn w:val="a0"/>
    <w:link w:val="21"/>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380C5-3C1A-45E7-A60A-6DB79371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4441</Words>
  <Characters>4886</Characters>
  <Application>Microsoft Office Word</Application>
  <DocSecurity>0</DocSecurity>
  <Lines>203</Lines>
  <Paragraphs>175</Paragraphs>
  <ScaleCrop>false</ScaleCrop>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Zhouwei</dc:creator>
  <cp:lastModifiedBy>大侠 肖</cp:lastModifiedBy>
  <cp:revision>3</cp:revision>
  <dcterms:created xsi:type="dcterms:W3CDTF">2025-05-14T08:52:00Z</dcterms:created>
  <dcterms:modified xsi:type="dcterms:W3CDTF">2025-05-14T08:56:00Z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7D756B3A589043D29D0692D26B5EEDDD_13</vt:lpwstr>
  </property>
  <property fmtid="{D5CDD505-2E9C-101B-9397-08002B2CF9AE}" pid="4" name="KSOTemplateDocerSaveRecord">
    <vt:lpwstr>eyJoZGlkIjoiYjcwOWI0NWQ5Yjg1YzhhMDIzZTVlZDRiMmQ3ZDc4MjgiLCJ1c2VySWQiOiIxMjE4OTA5NzkwIn0=</vt:lpwstr>
  </property>
</Properties>
</file>